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85" w:type="dxa"/>
        <w:tblLook w:val="04A0" w:firstRow="1" w:lastRow="0" w:firstColumn="1" w:lastColumn="0" w:noHBand="0" w:noVBand="1"/>
      </w:tblPr>
      <w:tblGrid>
        <w:gridCol w:w="10885"/>
      </w:tblGrid>
      <w:tr w:rsidR="00B87BC7" w14:paraId="41691C2C" w14:textId="77777777" w:rsidTr="00B87BC7">
        <w:tc>
          <w:tcPr>
            <w:tcW w:w="10885" w:type="dxa"/>
          </w:tcPr>
          <w:p w14:paraId="628FCAEF" w14:textId="73D0ADB9" w:rsidR="00B87BC7" w:rsidRPr="009A3851" w:rsidRDefault="00B87BC7" w:rsidP="00493CD2">
            <w:pPr>
              <w:tabs>
                <w:tab w:val="left" w:pos="7845"/>
              </w:tabs>
              <w:spacing w:line="360" w:lineRule="auto"/>
              <w:contextualSpacing/>
              <w:rPr>
                <w:rFonts w:ascii="Century Gothic" w:hAnsi="Century Gothic"/>
                <w:b/>
                <w:bCs/>
                <w:sz w:val="28"/>
                <w:szCs w:val="28"/>
              </w:rPr>
            </w:pPr>
            <w:r w:rsidRPr="009A3851">
              <w:rPr>
                <w:rFonts w:ascii="Century Gothic" w:hAnsi="Century Gothic"/>
                <w:b/>
                <w:bCs/>
                <w:sz w:val="28"/>
                <w:szCs w:val="28"/>
              </w:rPr>
              <w:t>Scope and Sequence 202</w:t>
            </w:r>
            <w:r w:rsidR="00BA068D">
              <w:rPr>
                <w:rFonts w:ascii="Century Gothic" w:hAnsi="Century Gothic"/>
                <w:b/>
                <w:bCs/>
                <w:sz w:val="28"/>
                <w:szCs w:val="28"/>
              </w:rPr>
              <w:t>3-2024</w:t>
            </w:r>
            <w:r w:rsidRPr="009A3851">
              <w:rPr>
                <w:rFonts w:ascii="Century Gothic" w:hAnsi="Century Gothic"/>
                <w:b/>
                <w:bCs/>
                <w:sz w:val="28"/>
                <w:szCs w:val="28"/>
              </w:rPr>
              <w:tab/>
            </w:r>
          </w:p>
        </w:tc>
      </w:tr>
      <w:tr w:rsidR="00B87BC7" w14:paraId="2F6E9FB8" w14:textId="77777777" w:rsidTr="00B87BC7">
        <w:tc>
          <w:tcPr>
            <w:tcW w:w="10885" w:type="dxa"/>
          </w:tcPr>
          <w:p w14:paraId="786AACA8" w14:textId="77777777" w:rsidR="00B87BC7" w:rsidRPr="00B87BC7" w:rsidRDefault="00B87BC7" w:rsidP="00493CD2">
            <w:pPr>
              <w:spacing w:line="360" w:lineRule="auto"/>
              <w:contextualSpacing/>
              <w:rPr>
                <w:rFonts w:ascii="Century Gothic" w:hAnsi="Century Gothic"/>
                <w:sz w:val="26"/>
                <w:szCs w:val="26"/>
              </w:rPr>
            </w:pPr>
            <w:r w:rsidRPr="00B87BC7">
              <w:rPr>
                <w:rFonts w:ascii="Century Gothic" w:hAnsi="Century Gothic"/>
                <w:b/>
                <w:bCs/>
                <w:sz w:val="26"/>
                <w:szCs w:val="26"/>
              </w:rPr>
              <w:t>Please Note:</w:t>
            </w:r>
            <w:r w:rsidRPr="00B87BC7">
              <w:rPr>
                <w:rFonts w:ascii="Century Gothic" w:hAnsi="Century Gothic"/>
                <w:sz w:val="26"/>
                <w:szCs w:val="26"/>
              </w:rPr>
              <w:t xml:space="preserve"> All standards in the state course description are designed to be learned by the end of the course. This guide represents a recommended timeline and sequence to be used voluntarily by teachers for planning purposes.  Specific </w:t>
            </w:r>
            <w:proofErr w:type="gramStart"/>
            <w:r w:rsidRPr="00B87BC7">
              <w:rPr>
                <w:rFonts w:ascii="Century Gothic" w:hAnsi="Century Gothic"/>
                <w:sz w:val="26"/>
                <w:szCs w:val="26"/>
              </w:rPr>
              <w:t>question</w:t>
            </w:r>
            <w:proofErr w:type="gramEnd"/>
            <w:r w:rsidRPr="00B87BC7">
              <w:rPr>
                <w:rFonts w:ascii="Century Gothic" w:hAnsi="Century Gothic"/>
                <w:sz w:val="26"/>
                <w:szCs w:val="26"/>
              </w:rPr>
              <w:t xml:space="preserve"> regarding when content will be addressed in a specific course are best answered by the individual teacher. </w:t>
            </w:r>
          </w:p>
        </w:tc>
      </w:tr>
      <w:tr w:rsidR="00B87BC7" w14:paraId="017E30E0" w14:textId="77777777" w:rsidTr="00B87BC7">
        <w:tc>
          <w:tcPr>
            <w:tcW w:w="10885" w:type="dxa"/>
          </w:tcPr>
          <w:p w14:paraId="41F224E5" w14:textId="77777777" w:rsidR="00B87BC7" w:rsidRPr="00CF1BC2" w:rsidRDefault="00B87BC7" w:rsidP="00493CD2">
            <w:pPr>
              <w:spacing w:line="360" w:lineRule="auto"/>
              <w:contextualSpacing/>
              <w:rPr>
                <w:sz w:val="28"/>
                <w:szCs w:val="28"/>
              </w:rPr>
            </w:pPr>
            <w:r w:rsidRPr="00CF1BC2">
              <w:rPr>
                <w:rFonts w:ascii="Century Gothic" w:hAnsi="Century Gothic"/>
                <w:b/>
                <w:bCs/>
                <w:sz w:val="28"/>
                <w:szCs w:val="28"/>
              </w:rPr>
              <w:t>Course Resources</w:t>
            </w:r>
          </w:p>
        </w:tc>
      </w:tr>
      <w:tr w:rsidR="00B87BC7" w14:paraId="464CDE0D" w14:textId="77777777" w:rsidTr="00B87BC7">
        <w:tc>
          <w:tcPr>
            <w:tcW w:w="10885" w:type="dxa"/>
          </w:tcPr>
          <w:p w14:paraId="6125A005" w14:textId="3CE0E408" w:rsidR="00B87BC7" w:rsidRDefault="00B87BC7" w:rsidP="00493CD2">
            <w:pPr>
              <w:spacing w:line="360" w:lineRule="auto"/>
              <w:contextualSpacing/>
              <w:rPr>
                <w:rFonts w:ascii="Century Gothic" w:hAnsi="Century Gothic"/>
                <w:b/>
                <w:bCs/>
                <w:sz w:val="26"/>
                <w:szCs w:val="26"/>
              </w:rPr>
            </w:pPr>
            <w:r w:rsidRPr="00CF1BC2">
              <w:rPr>
                <w:rFonts w:ascii="Century Gothic" w:hAnsi="Century Gothic"/>
                <w:b/>
                <w:bCs/>
                <w:sz w:val="26"/>
                <w:szCs w:val="26"/>
              </w:rPr>
              <w:t xml:space="preserve">Publisher Resource: </w:t>
            </w:r>
          </w:p>
          <w:p w14:paraId="1A98C95F" w14:textId="4B6A1D23" w:rsidR="00CF1BC2" w:rsidRDefault="008A46B6" w:rsidP="00E3581D">
            <w:pPr>
              <w:contextualSpacing/>
              <w:rPr>
                <w:rFonts w:ascii="Century Gothic" w:hAnsi="Century Gothic"/>
                <w:sz w:val="26"/>
                <w:szCs w:val="26"/>
              </w:rPr>
            </w:pPr>
            <w:r w:rsidRPr="007E3B07">
              <w:rPr>
                <w:rFonts w:ascii="Century Gothic" w:hAnsi="Century Gothic"/>
                <w:sz w:val="26"/>
                <w:szCs w:val="26"/>
              </w:rPr>
              <w:t>Precalculus with Limits: A Graphing Approach</w:t>
            </w:r>
            <w:r w:rsidR="007E3B07" w:rsidRPr="007E3B07">
              <w:rPr>
                <w:rFonts w:ascii="Century Gothic" w:hAnsi="Century Gothic"/>
                <w:sz w:val="26"/>
                <w:szCs w:val="26"/>
              </w:rPr>
              <w:t>, National Geographic Learning Cengage</w:t>
            </w:r>
            <w:r w:rsidR="00E3581D">
              <w:rPr>
                <w:rFonts w:ascii="Century Gothic" w:hAnsi="Century Gothic"/>
                <w:sz w:val="26"/>
                <w:szCs w:val="26"/>
              </w:rPr>
              <w:t xml:space="preserve"> </w:t>
            </w:r>
            <w:r w:rsidR="00E3581D" w:rsidRPr="004E533E">
              <w:rPr>
                <w:rFonts w:ascii="Century Gothic" w:hAnsi="Century Gothic"/>
                <w:sz w:val="26"/>
                <w:szCs w:val="26"/>
              </w:rPr>
              <w:t>(Clever – use your active directory; does not support Internet Explore</w:t>
            </w:r>
            <w:r w:rsidR="00E3581D">
              <w:rPr>
                <w:rFonts w:ascii="Century Gothic" w:hAnsi="Century Gothic"/>
                <w:sz w:val="26"/>
                <w:szCs w:val="26"/>
              </w:rPr>
              <w:t>r</w:t>
            </w:r>
            <w:r w:rsidR="00E3581D" w:rsidRPr="004E533E">
              <w:rPr>
                <w:rFonts w:ascii="Century Gothic" w:hAnsi="Century Gothic"/>
                <w:sz w:val="26"/>
                <w:szCs w:val="26"/>
              </w:rPr>
              <w:t>)</w:t>
            </w:r>
          </w:p>
          <w:p w14:paraId="40ECAD51" w14:textId="77777777" w:rsidR="00E3581D" w:rsidRPr="007E3B07" w:rsidRDefault="00E3581D" w:rsidP="00E3581D">
            <w:pPr>
              <w:contextualSpacing/>
              <w:rPr>
                <w:rFonts w:ascii="Century Gothic" w:hAnsi="Century Gothic"/>
                <w:sz w:val="26"/>
                <w:szCs w:val="26"/>
              </w:rPr>
            </w:pPr>
          </w:p>
          <w:p w14:paraId="63238BE5" w14:textId="7B6614C9" w:rsidR="00B87BC7" w:rsidRDefault="00B87BC7" w:rsidP="00493CD2">
            <w:pPr>
              <w:spacing w:line="360" w:lineRule="auto"/>
              <w:contextualSpacing/>
              <w:rPr>
                <w:rFonts w:ascii="Century Gothic" w:hAnsi="Century Gothic"/>
                <w:b/>
                <w:bCs/>
                <w:sz w:val="26"/>
                <w:szCs w:val="26"/>
              </w:rPr>
            </w:pPr>
            <w:r w:rsidRPr="00CF1BC2">
              <w:rPr>
                <w:rFonts w:ascii="Century Gothic" w:hAnsi="Century Gothic"/>
                <w:b/>
                <w:bCs/>
                <w:sz w:val="26"/>
                <w:szCs w:val="26"/>
              </w:rPr>
              <w:t xml:space="preserve">Supplemental Resources: </w:t>
            </w:r>
          </w:p>
          <w:p w14:paraId="16386267" w14:textId="54861FCF" w:rsidR="00114C18" w:rsidRDefault="00F0126B" w:rsidP="00493CD2">
            <w:pPr>
              <w:spacing w:line="360" w:lineRule="auto"/>
              <w:contextualSpacing/>
              <w:rPr>
                <w:rFonts w:ascii="Century Gothic" w:hAnsi="Century Gothic"/>
                <w:sz w:val="26"/>
                <w:szCs w:val="26"/>
              </w:rPr>
            </w:pPr>
            <w:hyperlink r:id="rId7" w:history="1">
              <w:r w:rsidR="00114C18" w:rsidRPr="00114C18">
                <w:rPr>
                  <w:rStyle w:val="Hyperlink"/>
                  <w:rFonts w:ascii="Century Gothic" w:hAnsi="Century Gothic"/>
                  <w:sz w:val="26"/>
                  <w:szCs w:val="26"/>
                </w:rPr>
                <w:t>Khan Academy</w:t>
              </w:r>
            </w:hyperlink>
            <w:r w:rsidR="00114C18">
              <w:rPr>
                <w:rFonts w:ascii="Century Gothic" w:hAnsi="Century Gothic"/>
                <w:sz w:val="26"/>
                <w:szCs w:val="26"/>
              </w:rPr>
              <w:t xml:space="preserve">  </w:t>
            </w:r>
            <w:r w:rsidR="001B10C3">
              <w:rPr>
                <w:rFonts w:ascii="Century Gothic" w:hAnsi="Century Gothic"/>
                <w:sz w:val="26"/>
                <w:szCs w:val="26"/>
              </w:rPr>
              <w:t>(does not support Internet Explorer)</w:t>
            </w:r>
          </w:p>
          <w:p w14:paraId="437D85FC" w14:textId="4D28381A" w:rsidR="00214668" w:rsidRPr="00114C18" w:rsidRDefault="001F05CA" w:rsidP="00493CD2">
            <w:pPr>
              <w:spacing w:line="360" w:lineRule="auto"/>
              <w:contextualSpacing/>
              <w:rPr>
                <w:rFonts w:ascii="Century Gothic" w:hAnsi="Century Gothic"/>
                <w:sz w:val="26"/>
                <w:szCs w:val="26"/>
              </w:rPr>
            </w:pPr>
            <w:hyperlink r:id="rId8" w:history="1">
              <w:r w:rsidRPr="001F05CA">
                <w:rPr>
                  <w:rStyle w:val="Hyperlink"/>
                  <w:rFonts w:ascii="Century Gothic" w:hAnsi="Century Gothic"/>
                  <w:sz w:val="26"/>
                  <w:szCs w:val="26"/>
                </w:rPr>
                <w:t>AP Classroom</w:t>
              </w:r>
            </w:hyperlink>
          </w:p>
          <w:p w14:paraId="1DCFC1DC" w14:textId="77777777" w:rsidR="00B87BC7" w:rsidRPr="00CF1BC2" w:rsidRDefault="00B87BC7" w:rsidP="00CD3BA0">
            <w:pPr>
              <w:pStyle w:val="NormalWeb"/>
              <w:spacing w:before="0" w:beforeAutospacing="0" w:after="0" w:afterAutospacing="0" w:line="360" w:lineRule="auto"/>
              <w:ind w:left="540"/>
              <w:contextualSpacing/>
              <w:rPr>
                <w:rFonts w:ascii="Calibri" w:hAnsi="Calibri" w:cs="Calibri"/>
              </w:rPr>
            </w:pPr>
          </w:p>
        </w:tc>
      </w:tr>
      <w:tr w:rsidR="00B87BC7" w14:paraId="37A8BD5D" w14:textId="77777777" w:rsidTr="00B87BC7">
        <w:tc>
          <w:tcPr>
            <w:tcW w:w="10885" w:type="dxa"/>
          </w:tcPr>
          <w:p w14:paraId="0DEF7D5B" w14:textId="60C03983" w:rsidR="00B87BC7" w:rsidRPr="009A3851" w:rsidRDefault="00E11F8C" w:rsidP="00493CD2">
            <w:pPr>
              <w:spacing w:line="360" w:lineRule="auto"/>
              <w:contextualSpacing/>
              <w:rPr>
                <w:sz w:val="28"/>
                <w:szCs w:val="28"/>
              </w:rPr>
            </w:pPr>
            <w:r>
              <w:rPr>
                <w:rFonts w:ascii="Century Gothic" w:hAnsi="Century Gothic"/>
                <w:b/>
                <w:bCs/>
                <w:sz w:val="28"/>
                <w:szCs w:val="28"/>
              </w:rPr>
              <w:t xml:space="preserve">In </w:t>
            </w:r>
            <w:r w:rsidR="00351DE4">
              <w:rPr>
                <w:rFonts w:ascii="Century Gothic" w:hAnsi="Century Gothic"/>
                <w:b/>
                <w:bCs/>
                <w:sz w:val="28"/>
                <w:szCs w:val="28"/>
              </w:rPr>
              <w:t>AP Precalculus</w:t>
            </w:r>
            <w:r w:rsidR="00B87BC7" w:rsidRPr="009A3851">
              <w:rPr>
                <w:rFonts w:ascii="Century Gothic" w:hAnsi="Century Gothic"/>
                <w:b/>
                <w:bCs/>
                <w:sz w:val="28"/>
                <w:szCs w:val="28"/>
              </w:rPr>
              <w:t>, instructional time will emphasize</w:t>
            </w:r>
            <w:r w:rsidR="00257EF8">
              <w:rPr>
                <w:rFonts w:ascii="Century Gothic" w:hAnsi="Century Gothic"/>
                <w:b/>
                <w:bCs/>
                <w:sz w:val="28"/>
                <w:szCs w:val="28"/>
              </w:rPr>
              <w:t xml:space="preserve"> </w:t>
            </w:r>
            <w:r w:rsidR="006A4FC3">
              <w:rPr>
                <w:rFonts w:ascii="Century Gothic" w:hAnsi="Century Gothic"/>
                <w:b/>
                <w:bCs/>
                <w:sz w:val="28"/>
                <w:szCs w:val="28"/>
              </w:rPr>
              <w:t>four</w:t>
            </w:r>
            <w:r w:rsidR="00B87BC7" w:rsidRPr="009A3851">
              <w:rPr>
                <w:rFonts w:ascii="Century Gothic" w:hAnsi="Century Gothic"/>
                <w:b/>
                <w:bCs/>
                <w:sz w:val="28"/>
                <w:szCs w:val="28"/>
              </w:rPr>
              <w:t xml:space="preserve"> areas:</w:t>
            </w:r>
          </w:p>
        </w:tc>
      </w:tr>
      <w:tr w:rsidR="00B87BC7" w14:paraId="73C04824" w14:textId="77777777" w:rsidTr="00B87BC7">
        <w:tc>
          <w:tcPr>
            <w:tcW w:w="10885" w:type="dxa"/>
          </w:tcPr>
          <w:p w14:paraId="15C64E8E" w14:textId="65FF7D3B" w:rsidR="00B87BC7" w:rsidRPr="002F56AD" w:rsidRDefault="00254325" w:rsidP="002F56AD">
            <w:pPr>
              <w:spacing w:line="360" w:lineRule="auto"/>
              <w:rPr>
                <w:rFonts w:ascii="Century Gothic" w:hAnsi="Century Gothic"/>
                <w:sz w:val="26"/>
                <w:szCs w:val="26"/>
              </w:rPr>
            </w:pPr>
            <w:r w:rsidRPr="00056390">
              <w:rPr>
                <w:rFonts w:ascii="Century Gothic" w:hAnsi="Century Gothic"/>
                <w:sz w:val="24"/>
                <w:szCs w:val="24"/>
              </w:rPr>
              <w:t xml:space="preserve"> </w:t>
            </w:r>
            <w:r w:rsidR="00056390" w:rsidRPr="00056390">
              <w:rPr>
                <w:rFonts w:ascii="Century Gothic" w:hAnsi="Century Gothic"/>
                <w:color w:val="000000"/>
                <w:sz w:val="24"/>
                <w:szCs w:val="24"/>
                <w:shd w:val="clear" w:color="auto" w:fill="FFFFFF"/>
              </w:rPr>
              <w:t xml:space="preserve">(1) </w:t>
            </w:r>
            <w:r w:rsidR="001D29A2">
              <w:rPr>
                <w:rFonts w:ascii="Century Gothic" w:hAnsi="Century Gothic"/>
                <w:color w:val="000000"/>
                <w:sz w:val="24"/>
                <w:szCs w:val="24"/>
                <w:shd w:val="clear" w:color="auto" w:fill="FFFFFF"/>
              </w:rPr>
              <w:t>Polynomial and Rational Functions; (2) Exponential and Logarithmic Functions</w:t>
            </w:r>
            <w:r w:rsidR="00EC1120">
              <w:rPr>
                <w:rFonts w:ascii="Century Gothic" w:hAnsi="Century Gothic"/>
                <w:color w:val="000000"/>
                <w:sz w:val="24"/>
                <w:szCs w:val="24"/>
                <w:shd w:val="clear" w:color="auto" w:fill="FFFFFF"/>
              </w:rPr>
              <w:t xml:space="preserve">; (3) Trigonometric and Polar Functions; and (4) Functions Involving </w:t>
            </w:r>
            <w:r w:rsidR="00C92FBC">
              <w:rPr>
                <w:rFonts w:ascii="Century Gothic" w:hAnsi="Century Gothic"/>
                <w:color w:val="000000"/>
                <w:sz w:val="24"/>
                <w:szCs w:val="24"/>
                <w:shd w:val="clear" w:color="auto" w:fill="FFFFFF"/>
              </w:rPr>
              <w:t xml:space="preserve">Parameters, Vectors, and Matrices. </w:t>
            </w:r>
            <w:r w:rsidR="000E3135">
              <w:rPr>
                <w:rFonts w:ascii="Century Gothic" w:hAnsi="Century Gothic"/>
                <w:color w:val="000000"/>
                <w:sz w:val="24"/>
                <w:szCs w:val="24"/>
                <w:shd w:val="clear" w:color="auto" w:fill="FFFFFF"/>
              </w:rPr>
              <w:t xml:space="preserve"> </w:t>
            </w:r>
          </w:p>
        </w:tc>
      </w:tr>
    </w:tbl>
    <w:p w14:paraId="06694B05" w14:textId="77777777" w:rsidR="0092135E" w:rsidRDefault="0092135E"/>
    <w:tbl>
      <w:tblPr>
        <w:tblStyle w:val="TableGrid"/>
        <w:tblW w:w="10885" w:type="dxa"/>
        <w:tblLook w:val="04A0" w:firstRow="1" w:lastRow="0" w:firstColumn="1" w:lastColumn="0" w:noHBand="0" w:noVBand="1"/>
      </w:tblPr>
      <w:tblGrid>
        <w:gridCol w:w="10885"/>
      </w:tblGrid>
      <w:tr w:rsidR="00B87BC7" w:rsidRPr="00B87BC7" w14:paraId="69288666" w14:textId="77777777" w:rsidTr="00493CD2">
        <w:tc>
          <w:tcPr>
            <w:tcW w:w="10885" w:type="dxa"/>
            <w:shd w:val="clear" w:color="auto" w:fill="D0CECE" w:themeFill="background2" w:themeFillShade="E6"/>
          </w:tcPr>
          <w:p w14:paraId="6FA6B2DC" w14:textId="23AAA664" w:rsidR="00B87BC7" w:rsidRPr="00B87BC7" w:rsidRDefault="00B87BC7" w:rsidP="00493CD2">
            <w:pPr>
              <w:jc w:val="center"/>
              <w:rPr>
                <w:rFonts w:ascii="Century Gothic" w:hAnsi="Century Gothic"/>
                <w:sz w:val="26"/>
                <w:szCs w:val="26"/>
              </w:rPr>
            </w:pPr>
            <w:r w:rsidRPr="00B87BC7">
              <w:rPr>
                <w:rFonts w:ascii="Century Gothic" w:hAnsi="Century Gothic"/>
                <w:sz w:val="26"/>
                <w:szCs w:val="26"/>
              </w:rPr>
              <w:t>Quarter 1 (August 10 – October 1</w:t>
            </w:r>
            <w:r w:rsidR="00C92FBC">
              <w:rPr>
                <w:rFonts w:ascii="Century Gothic" w:hAnsi="Century Gothic"/>
                <w:sz w:val="26"/>
                <w:szCs w:val="26"/>
              </w:rPr>
              <w:t>3</w:t>
            </w:r>
            <w:r w:rsidRPr="00B87BC7">
              <w:rPr>
                <w:rFonts w:ascii="Century Gothic" w:hAnsi="Century Gothic"/>
                <w:sz w:val="26"/>
                <w:szCs w:val="26"/>
              </w:rPr>
              <w:t>)</w:t>
            </w:r>
          </w:p>
        </w:tc>
      </w:tr>
      <w:tr w:rsidR="00DA1F4A" w:rsidRPr="00B87BC7" w14:paraId="079CE6D0" w14:textId="77777777" w:rsidTr="00DA1F4A">
        <w:tc>
          <w:tcPr>
            <w:tcW w:w="10885" w:type="dxa"/>
            <w:shd w:val="clear" w:color="auto" w:fill="auto"/>
          </w:tcPr>
          <w:p w14:paraId="519EBDD8" w14:textId="77777777" w:rsidR="00F9781E" w:rsidRPr="007D7E11" w:rsidRDefault="00C90FB9" w:rsidP="00C90FB9">
            <w:pPr>
              <w:jc w:val="center"/>
              <w:rPr>
                <w:rFonts w:ascii="Century Gothic" w:hAnsi="Century Gothic"/>
                <w:b/>
                <w:bCs/>
                <w:sz w:val="28"/>
                <w:szCs w:val="28"/>
              </w:rPr>
            </w:pPr>
            <w:r w:rsidRPr="007D7E11">
              <w:rPr>
                <w:rFonts w:ascii="Century Gothic" w:hAnsi="Century Gothic"/>
                <w:b/>
                <w:bCs/>
                <w:sz w:val="28"/>
                <w:szCs w:val="28"/>
              </w:rPr>
              <w:t>Unit 1: Polynomial and Rational Functions</w:t>
            </w:r>
          </w:p>
          <w:p w14:paraId="26A9F81F" w14:textId="77777777" w:rsidR="00C90FB9" w:rsidRDefault="007C274F" w:rsidP="00C90FB9">
            <w:pPr>
              <w:jc w:val="center"/>
              <w:rPr>
                <w:rFonts w:ascii="Century Gothic" w:hAnsi="Century Gothic"/>
                <w:sz w:val="26"/>
                <w:szCs w:val="26"/>
              </w:rPr>
            </w:pPr>
            <w:r>
              <w:rPr>
                <w:rFonts w:ascii="Century Gothic" w:hAnsi="Century Gothic"/>
                <w:sz w:val="26"/>
                <w:szCs w:val="26"/>
              </w:rPr>
              <w:t xml:space="preserve">Students will develop an understanding of two key concepts through the exploration of </w:t>
            </w:r>
            <w:r w:rsidR="002664A5">
              <w:rPr>
                <w:rFonts w:ascii="Century Gothic" w:hAnsi="Century Gothic"/>
                <w:sz w:val="26"/>
                <w:szCs w:val="26"/>
              </w:rPr>
              <w:t>polynomial</w:t>
            </w:r>
            <w:r>
              <w:rPr>
                <w:rFonts w:ascii="Century Gothic" w:hAnsi="Century Gothic"/>
                <w:sz w:val="26"/>
                <w:szCs w:val="26"/>
              </w:rPr>
              <w:t xml:space="preserve"> and rational functions. </w:t>
            </w:r>
            <w:r w:rsidR="003B4D34">
              <w:rPr>
                <w:rFonts w:ascii="Century Gothic" w:hAnsi="Century Gothic"/>
                <w:sz w:val="26"/>
                <w:szCs w:val="26"/>
              </w:rPr>
              <w:t xml:space="preserve">The first concept is covariation (how </w:t>
            </w:r>
            <w:r w:rsidR="00105E46">
              <w:rPr>
                <w:rFonts w:ascii="Century Gothic" w:hAnsi="Century Gothic"/>
                <w:sz w:val="26"/>
                <w:szCs w:val="26"/>
              </w:rPr>
              <w:t xml:space="preserve">output values change in tandem with changing input values) and the second concept that students will focus on is rate of change. The focus on rate of change includes </w:t>
            </w:r>
            <w:r w:rsidR="008116E0">
              <w:rPr>
                <w:rFonts w:ascii="Century Gothic" w:hAnsi="Century Gothic"/>
                <w:sz w:val="26"/>
                <w:szCs w:val="26"/>
              </w:rPr>
              <w:t xml:space="preserve">average rate of change, rate of change at a point, and well as changing rates of change. </w:t>
            </w:r>
          </w:p>
          <w:p w14:paraId="6508DDB3" w14:textId="77777777" w:rsidR="00647A5C" w:rsidRDefault="00647A5C" w:rsidP="00C90FB9">
            <w:pPr>
              <w:jc w:val="center"/>
              <w:rPr>
                <w:rFonts w:ascii="Century Gothic" w:hAnsi="Century Gothic"/>
                <w:sz w:val="26"/>
                <w:szCs w:val="26"/>
              </w:rPr>
            </w:pPr>
          </w:p>
          <w:p w14:paraId="0A0CA152" w14:textId="77777777" w:rsidR="00647A5C" w:rsidRPr="007D7E11" w:rsidRDefault="00647A5C" w:rsidP="00C90FB9">
            <w:pPr>
              <w:jc w:val="center"/>
              <w:rPr>
                <w:rFonts w:ascii="Century Gothic" w:hAnsi="Century Gothic"/>
                <w:b/>
                <w:bCs/>
                <w:sz w:val="26"/>
                <w:szCs w:val="26"/>
              </w:rPr>
            </w:pPr>
            <w:r w:rsidRPr="007D7E11">
              <w:rPr>
                <w:rFonts w:ascii="Century Gothic" w:hAnsi="Century Gothic"/>
                <w:b/>
                <w:bCs/>
                <w:sz w:val="26"/>
                <w:szCs w:val="26"/>
              </w:rPr>
              <w:t>Unit 2: Exponential and Logarithmic Functions</w:t>
            </w:r>
          </w:p>
          <w:p w14:paraId="71B0E4E2" w14:textId="77777777" w:rsidR="00647A5C" w:rsidRDefault="004753D2" w:rsidP="00C90FB9">
            <w:pPr>
              <w:jc w:val="center"/>
              <w:rPr>
                <w:rFonts w:ascii="Century Gothic" w:hAnsi="Century Gothic"/>
                <w:sz w:val="26"/>
                <w:szCs w:val="26"/>
              </w:rPr>
            </w:pPr>
            <w:r>
              <w:rPr>
                <w:rFonts w:ascii="Century Gothic" w:hAnsi="Century Gothic"/>
                <w:sz w:val="26"/>
                <w:szCs w:val="26"/>
              </w:rPr>
              <w:t xml:space="preserve">Students will build an understanding of exponential and logarithmic functions. </w:t>
            </w:r>
            <w:r w:rsidR="005D3700">
              <w:rPr>
                <w:rFonts w:ascii="Century Gothic" w:hAnsi="Century Gothic"/>
                <w:sz w:val="26"/>
                <w:szCs w:val="26"/>
              </w:rPr>
              <w:t>Students will communicate differences and similarities among arithm</w:t>
            </w:r>
            <w:r w:rsidR="00A47879">
              <w:rPr>
                <w:rFonts w:ascii="Century Gothic" w:hAnsi="Century Gothic"/>
                <w:sz w:val="26"/>
                <w:szCs w:val="26"/>
              </w:rPr>
              <w:t>et</w:t>
            </w:r>
            <w:r w:rsidR="005D3700">
              <w:rPr>
                <w:rFonts w:ascii="Century Gothic" w:hAnsi="Century Gothic"/>
                <w:sz w:val="26"/>
                <w:szCs w:val="26"/>
              </w:rPr>
              <w:t xml:space="preserve">ic </w:t>
            </w:r>
            <w:r w:rsidR="00510412">
              <w:rPr>
                <w:rFonts w:ascii="Century Gothic" w:hAnsi="Century Gothic"/>
                <w:sz w:val="26"/>
                <w:szCs w:val="26"/>
              </w:rPr>
              <w:t xml:space="preserve">sequences, </w:t>
            </w:r>
            <w:r w:rsidR="00510412">
              <w:rPr>
                <w:rFonts w:ascii="Century Gothic" w:hAnsi="Century Gothic"/>
                <w:sz w:val="26"/>
                <w:szCs w:val="26"/>
              </w:rPr>
              <w:lastRenderedPageBreak/>
              <w:t xml:space="preserve">linear functions, geometric sequences, and exponential functions. </w:t>
            </w:r>
            <w:r w:rsidR="00A47879">
              <w:rPr>
                <w:rFonts w:ascii="Century Gothic" w:hAnsi="Century Gothic"/>
                <w:sz w:val="26"/>
                <w:szCs w:val="26"/>
              </w:rPr>
              <w:t xml:space="preserve">They will explore how each of the four functions above </w:t>
            </w:r>
            <w:r w:rsidR="004B7675">
              <w:rPr>
                <w:rFonts w:ascii="Century Gothic" w:hAnsi="Century Gothic"/>
                <w:sz w:val="26"/>
                <w:szCs w:val="26"/>
              </w:rPr>
              <w:t xml:space="preserve">would be represented in a graph, table, </w:t>
            </w:r>
            <w:r w:rsidR="00A94DC0">
              <w:rPr>
                <w:rFonts w:ascii="Century Gothic" w:hAnsi="Century Gothic"/>
                <w:sz w:val="26"/>
                <w:szCs w:val="26"/>
              </w:rPr>
              <w:t xml:space="preserve">analytically, and through verbal representations. Students will use these multiple representations to </w:t>
            </w:r>
            <w:r w:rsidR="00F31D59">
              <w:rPr>
                <w:rFonts w:ascii="Century Gothic" w:hAnsi="Century Gothic"/>
                <w:sz w:val="26"/>
                <w:szCs w:val="26"/>
              </w:rPr>
              <w:t xml:space="preserve">develop an understanding of </w:t>
            </w:r>
            <w:r w:rsidR="00D2077B">
              <w:rPr>
                <w:rFonts w:ascii="Century Gothic" w:hAnsi="Century Gothic"/>
                <w:sz w:val="26"/>
                <w:szCs w:val="26"/>
              </w:rPr>
              <w:t>the composition</w:t>
            </w:r>
            <w:r w:rsidR="00F31D59">
              <w:rPr>
                <w:rFonts w:ascii="Century Gothic" w:hAnsi="Century Gothic"/>
                <w:sz w:val="26"/>
                <w:szCs w:val="26"/>
              </w:rPr>
              <w:t xml:space="preserve"> of functions and the relationships between functions and their </w:t>
            </w:r>
            <w:r w:rsidR="007D7E11">
              <w:rPr>
                <w:rFonts w:ascii="Century Gothic" w:hAnsi="Century Gothic"/>
                <w:sz w:val="26"/>
                <w:szCs w:val="26"/>
              </w:rPr>
              <w:t>inverses</w:t>
            </w:r>
            <w:r w:rsidR="00F31D59">
              <w:rPr>
                <w:rFonts w:ascii="Century Gothic" w:hAnsi="Century Gothic"/>
                <w:sz w:val="26"/>
                <w:szCs w:val="26"/>
              </w:rPr>
              <w:t xml:space="preserve">. </w:t>
            </w:r>
          </w:p>
          <w:p w14:paraId="7570E8B9" w14:textId="345D719A" w:rsidR="00F0126B" w:rsidRPr="00B87BC7" w:rsidRDefault="00F0126B" w:rsidP="00C90FB9">
            <w:pPr>
              <w:jc w:val="center"/>
              <w:rPr>
                <w:rFonts w:ascii="Century Gothic" w:hAnsi="Century Gothic"/>
                <w:sz w:val="26"/>
                <w:szCs w:val="26"/>
              </w:rPr>
            </w:pPr>
          </w:p>
        </w:tc>
      </w:tr>
      <w:tr w:rsidR="00B87BC7" w:rsidRPr="00B87BC7" w14:paraId="44A376CF" w14:textId="77777777" w:rsidTr="00493CD2">
        <w:tc>
          <w:tcPr>
            <w:tcW w:w="10885" w:type="dxa"/>
            <w:shd w:val="clear" w:color="auto" w:fill="D0CECE" w:themeFill="background2" w:themeFillShade="E6"/>
          </w:tcPr>
          <w:p w14:paraId="73C76CBD" w14:textId="5D1CA991" w:rsidR="00B87BC7" w:rsidRPr="00155E86" w:rsidRDefault="00B87BC7" w:rsidP="00493CD2">
            <w:pPr>
              <w:jc w:val="center"/>
              <w:rPr>
                <w:rFonts w:ascii="Century Gothic" w:hAnsi="Century Gothic"/>
                <w:sz w:val="28"/>
                <w:szCs w:val="28"/>
              </w:rPr>
            </w:pPr>
            <w:r w:rsidRPr="00155E86">
              <w:rPr>
                <w:rFonts w:ascii="Century Gothic" w:hAnsi="Century Gothic"/>
                <w:sz w:val="28"/>
                <w:szCs w:val="28"/>
              </w:rPr>
              <w:lastRenderedPageBreak/>
              <w:t>Quarter 2 (October 1</w:t>
            </w:r>
            <w:r w:rsidR="00472482">
              <w:rPr>
                <w:rFonts w:ascii="Century Gothic" w:hAnsi="Century Gothic"/>
                <w:sz w:val="28"/>
                <w:szCs w:val="28"/>
              </w:rPr>
              <w:t>7</w:t>
            </w:r>
            <w:r w:rsidRPr="00155E86">
              <w:rPr>
                <w:rFonts w:ascii="Century Gothic" w:hAnsi="Century Gothic"/>
                <w:sz w:val="28"/>
                <w:szCs w:val="28"/>
              </w:rPr>
              <w:t xml:space="preserve"> – December 21)</w:t>
            </w:r>
          </w:p>
        </w:tc>
      </w:tr>
      <w:tr w:rsidR="00B87BC7" w:rsidRPr="00B87BC7" w14:paraId="20D013EC" w14:textId="77777777" w:rsidTr="00493CD2">
        <w:tc>
          <w:tcPr>
            <w:tcW w:w="10885" w:type="dxa"/>
          </w:tcPr>
          <w:p w14:paraId="7A38B150" w14:textId="77777777" w:rsidR="00D2077B" w:rsidRPr="007D7E11" w:rsidRDefault="00D2077B" w:rsidP="00D2077B">
            <w:pPr>
              <w:jc w:val="center"/>
              <w:rPr>
                <w:rFonts w:ascii="Century Gothic" w:hAnsi="Century Gothic"/>
                <w:b/>
                <w:bCs/>
                <w:sz w:val="26"/>
                <w:szCs w:val="26"/>
              </w:rPr>
            </w:pPr>
            <w:r w:rsidRPr="007D7E11">
              <w:rPr>
                <w:rFonts w:ascii="Century Gothic" w:hAnsi="Century Gothic"/>
                <w:b/>
                <w:bCs/>
                <w:sz w:val="26"/>
                <w:szCs w:val="26"/>
              </w:rPr>
              <w:t>Unit 2: Exponential and Logarithmic Functions</w:t>
            </w:r>
          </w:p>
          <w:p w14:paraId="559E1338" w14:textId="6BF74F22" w:rsidR="00780A47" w:rsidRPr="00E307EA" w:rsidRDefault="00D2077B" w:rsidP="00D2077B">
            <w:pPr>
              <w:jc w:val="center"/>
              <w:rPr>
                <w:rFonts w:ascii="Century Gothic" w:hAnsi="Century Gothic"/>
                <w:sz w:val="28"/>
                <w:szCs w:val="28"/>
              </w:rPr>
            </w:pPr>
            <w:r>
              <w:rPr>
                <w:rFonts w:ascii="Century Gothic" w:hAnsi="Century Gothic"/>
                <w:sz w:val="26"/>
                <w:szCs w:val="26"/>
              </w:rPr>
              <w:t>Students will build an understanding of exponential and logarithmic functions. Students will communicate differences and similarities among arithmetic sequences, linear functions, geometric sequences, and exponential functions. They will explore how each of the four functions above would be represented in a graph, table, analytically, and through verbal representations. Students will use these multiple representations to develop an understanding of the composition of functions and the relationships between functions and their inverses.</w:t>
            </w:r>
          </w:p>
          <w:p w14:paraId="1F13B637" w14:textId="77777777" w:rsidR="00E307EA" w:rsidRDefault="00E307EA" w:rsidP="00484DE7">
            <w:pPr>
              <w:rPr>
                <w:sz w:val="28"/>
                <w:szCs w:val="28"/>
              </w:rPr>
            </w:pPr>
          </w:p>
          <w:p w14:paraId="0AA4B8AB" w14:textId="1926A146" w:rsidR="00D07113" w:rsidRDefault="00D07113" w:rsidP="00884B4D">
            <w:pPr>
              <w:jc w:val="center"/>
              <w:rPr>
                <w:rFonts w:ascii="Century Gothic" w:hAnsi="Century Gothic"/>
                <w:b/>
                <w:bCs/>
                <w:sz w:val="26"/>
                <w:szCs w:val="26"/>
              </w:rPr>
            </w:pPr>
            <w:r w:rsidRPr="00D07113">
              <w:rPr>
                <w:rFonts w:ascii="Century Gothic" w:hAnsi="Century Gothic"/>
                <w:b/>
                <w:bCs/>
                <w:sz w:val="26"/>
                <w:szCs w:val="26"/>
              </w:rPr>
              <w:t>Unit 3: Trigonometric and Polar Functions</w:t>
            </w:r>
          </w:p>
          <w:p w14:paraId="60FFDE5C" w14:textId="76489E97" w:rsidR="00D07113" w:rsidRPr="00D07113" w:rsidRDefault="00690E6E" w:rsidP="00884B4D">
            <w:pPr>
              <w:jc w:val="center"/>
              <w:rPr>
                <w:rFonts w:ascii="Century Gothic" w:hAnsi="Century Gothic"/>
                <w:sz w:val="26"/>
                <w:szCs w:val="26"/>
              </w:rPr>
            </w:pPr>
            <w:r>
              <w:rPr>
                <w:rFonts w:ascii="Century Gothic" w:hAnsi="Century Gothic"/>
                <w:sz w:val="26"/>
                <w:szCs w:val="26"/>
              </w:rPr>
              <w:t>Students will explore trigon</w:t>
            </w:r>
            <w:r w:rsidR="006C1AC2">
              <w:rPr>
                <w:rFonts w:ascii="Century Gothic" w:hAnsi="Century Gothic"/>
                <w:sz w:val="26"/>
                <w:szCs w:val="26"/>
              </w:rPr>
              <w:t xml:space="preserve">ometric functions and their relation to the </w:t>
            </w:r>
            <w:r w:rsidR="0031758F">
              <w:rPr>
                <w:rFonts w:ascii="Century Gothic" w:hAnsi="Century Gothic"/>
                <w:sz w:val="26"/>
                <w:szCs w:val="26"/>
              </w:rPr>
              <w:t>angles</w:t>
            </w:r>
            <w:r w:rsidR="006C1AC2">
              <w:rPr>
                <w:rFonts w:ascii="Century Gothic" w:hAnsi="Century Gothic"/>
                <w:sz w:val="26"/>
                <w:szCs w:val="26"/>
              </w:rPr>
              <w:t xml:space="preserve"> and arcs of a circle. </w:t>
            </w:r>
            <w:r w:rsidR="002C4450">
              <w:rPr>
                <w:rFonts w:ascii="Century Gothic" w:hAnsi="Century Gothic"/>
                <w:sz w:val="26"/>
                <w:szCs w:val="26"/>
              </w:rPr>
              <w:t xml:space="preserve">Students will solve </w:t>
            </w:r>
            <w:r w:rsidR="00211AC4">
              <w:rPr>
                <w:rFonts w:ascii="Century Gothic" w:hAnsi="Century Gothic"/>
                <w:sz w:val="26"/>
                <w:szCs w:val="26"/>
              </w:rPr>
              <w:t>trigonometric equations and find equivalent trigonometric expressions. Students will build sinusoidal models with and without technology</w:t>
            </w:r>
            <w:r w:rsidR="00A97D78">
              <w:rPr>
                <w:rFonts w:ascii="Century Gothic" w:hAnsi="Century Gothic"/>
                <w:sz w:val="26"/>
                <w:szCs w:val="26"/>
              </w:rPr>
              <w:t>. Students will also learn abo</w:t>
            </w:r>
            <w:r w:rsidR="00D34377">
              <w:rPr>
                <w:rFonts w:ascii="Century Gothic" w:hAnsi="Century Gothic"/>
                <w:sz w:val="26"/>
                <w:szCs w:val="26"/>
              </w:rPr>
              <w:t>ut Polar functions and graphs.</w:t>
            </w:r>
          </w:p>
          <w:p w14:paraId="53BD50C2" w14:textId="0080586C" w:rsidR="00D07113" w:rsidRPr="00155E86" w:rsidRDefault="00D07113" w:rsidP="00484DE7">
            <w:pPr>
              <w:rPr>
                <w:sz w:val="28"/>
                <w:szCs w:val="28"/>
              </w:rPr>
            </w:pPr>
          </w:p>
        </w:tc>
      </w:tr>
      <w:tr w:rsidR="00B87BC7" w:rsidRPr="00B87BC7" w14:paraId="2C7CC108" w14:textId="77777777" w:rsidTr="00493CD2">
        <w:tc>
          <w:tcPr>
            <w:tcW w:w="10885" w:type="dxa"/>
            <w:shd w:val="clear" w:color="auto" w:fill="D0CECE" w:themeFill="background2" w:themeFillShade="E6"/>
          </w:tcPr>
          <w:p w14:paraId="6998F85C" w14:textId="02CAC91A" w:rsidR="00B87BC7" w:rsidRPr="00155E86" w:rsidRDefault="00B87BC7" w:rsidP="00493CD2">
            <w:pPr>
              <w:jc w:val="center"/>
              <w:rPr>
                <w:sz w:val="28"/>
                <w:szCs w:val="28"/>
              </w:rPr>
            </w:pPr>
            <w:r w:rsidRPr="00155E86">
              <w:rPr>
                <w:rFonts w:ascii="Century Gothic" w:hAnsi="Century Gothic"/>
                <w:sz w:val="28"/>
                <w:szCs w:val="28"/>
              </w:rPr>
              <w:t xml:space="preserve">Quarter 3 (January </w:t>
            </w:r>
            <w:r w:rsidR="00472482">
              <w:rPr>
                <w:rFonts w:ascii="Century Gothic" w:hAnsi="Century Gothic"/>
                <w:sz w:val="28"/>
                <w:szCs w:val="28"/>
              </w:rPr>
              <w:t>8</w:t>
            </w:r>
            <w:r w:rsidRPr="00155E86">
              <w:rPr>
                <w:rFonts w:ascii="Century Gothic" w:hAnsi="Century Gothic"/>
                <w:sz w:val="28"/>
                <w:szCs w:val="28"/>
              </w:rPr>
              <w:t xml:space="preserve"> – March </w:t>
            </w:r>
            <w:r w:rsidR="00472482">
              <w:rPr>
                <w:rFonts w:ascii="Century Gothic" w:hAnsi="Century Gothic"/>
                <w:sz w:val="28"/>
                <w:szCs w:val="28"/>
              </w:rPr>
              <w:t>8</w:t>
            </w:r>
            <w:r w:rsidRPr="00155E86">
              <w:rPr>
                <w:rFonts w:ascii="Century Gothic" w:hAnsi="Century Gothic"/>
                <w:sz w:val="28"/>
                <w:szCs w:val="28"/>
              </w:rPr>
              <w:t>)</w:t>
            </w:r>
          </w:p>
        </w:tc>
      </w:tr>
      <w:tr w:rsidR="00B87BC7" w:rsidRPr="00B87BC7" w14:paraId="2AA55083" w14:textId="77777777" w:rsidTr="00493CD2">
        <w:tc>
          <w:tcPr>
            <w:tcW w:w="10885" w:type="dxa"/>
          </w:tcPr>
          <w:p w14:paraId="4823953C" w14:textId="77777777" w:rsidR="00884B4D" w:rsidRDefault="00884B4D" w:rsidP="00884B4D">
            <w:pPr>
              <w:jc w:val="center"/>
              <w:rPr>
                <w:rFonts w:ascii="Century Gothic" w:hAnsi="Century Gothic"/>
                <w:b/>
                <w:bCs/>
                <w:sz w:val="26"/>
                <w:szCs w:val="26"/>
              </w:rPr>
            </w:pPr>
            <w:r w:rsidRPr="00D07113">
              <w:rPr>
                <w:rFonts w:ascii="Century Gothic" w:hAnsi="Century Gothic"/>
                <w:b/>
                <w:bCs/>
                <w:sz w:val="26"/>
                <w:szCs w:val="26"/>
              </w:rPr>
              <w:t>Unit 3: Trigonometric and Polar Functions</w:t>
            </w:r>
          </w:p>
          <w:p w14:paraId="1820EDA0" w14:textId="77777777" w:rsidR="00884B4D" w:rsidRPr="00D07113" w:rsidRDefault="00884B4D" w:rsidP="00884B4D">
            <w:pPr>
              <w:jc w:val="center"/>
              <w:rPr>
                <w:rFonts w:ascii="Century Gothic" w:hAnsi="Century Gothic"/>
                <w:sz w:val="26"/>
                <w:szCs w:val="26"/>
              </w:rPr>
            </w:pPr>
            <w:r>
              <w:rPr>
                <w:rFonts w:ascii="Century Gothic" w:hAnsi="Century Gothic"/>
                <w:sz w:val="26"/>
                <w:szCs w:val="26"/>
              </w:rPr>
              <w:t>Students will explore trigonometric functions and their relation to the angles and arcs of a circle. Students will solve trigonometric equations and find equivalent trigonometric expressions. Students will build sinusoidal models with and without technology. Students will also learn about Polar functions and graphs.</w:t>
            </w:r>
          </w:p>
          <w:p w14:paraId="6F9B0F42" w14:textId="70D55706" w:rsidR="00E307EA" w:rsidRPr="00D20B66" w:rsidRDefault="00E307EA" w:rsidP="00884B4D">
            <w:pPr>
              <w:jc w:val="center"/>
              <w:rPr>
                <w:rFonts w:ascii="Century Gothic" w:hAnsi="Century Gothic"/>
                <w:sz w:val="28"/>
                <w:szCs w:val="28"/>
              </w:rPr>
            </w:pPr>
          </w:p>
        </w:tc>
      </w:tr>
      <w:tr w:rsidR="00B87BC7" w:rsidRPr="00B87BC7" w14:paraId="7DDFE576" w14:textId="77777777" w:rsidTr="00493CD2">
        <w:tc>
          <w:tcPr>
            <w:tcW w:w="10885" w:type="dxa"/>
            <w:shd w:val="clear" w:color="auto" w:fill="D0CECE" w:themeFill="background2" w:themeFillShade="E6"/>
          </w:tcPr>
          <w:p w14:paraId="230E7D0B" w14:textId="1379023B" w:rsidR="00B87BC7" w:rsidRPr="00D20B66" w:rsidRDefault="00B87BC7" w:rsidP="00493CD2">
            <w:pPr>
              <w:jc w:val="center"/>
              <w:rPr>
                <w:rFonts w:ascii="Century Gothic" w:hAnsi="Century Gothic"/>
                <w:b/>
                <w:bCs/>
                <w:sz w:val="28"/>
                <w:szCs w:val="28"/>
              </w:rPr>
            </w:pPr>
            <w:r w:rsidRPr="00D20B66">
              <w:rPr>
                <w:rFonts w:ascii="Century Gothic" w:hAnsi="Century Gothic"/>
                <w:sz w:val="28"/>
                <w:szCs w:val="28"/>
              </w:rPr>
              <w:t xml:space="preserve">Quarter 4 (March </w:t>
            </w:r>
            <w:r w:rsidR="00D14EC2">
              <w:rPr>
                <w:rFonts w:ascii="Century Gothic" w:hAnsi="Century Gothic"/>
                <w:sz w:val="28"/>
                <w:szCs w:val="28"/>
              </w:rPr>
              <w:t>19</w:t>
            </w:r>
            <w:r w:rsidRPr="00D20B66">
              <w:rPr>
                <w:rFonts w:ascii="Century Gothic" w:hAnsi="Century Gothic"/>
                <w:sz w:val="28"/>
                <w:szCs w:val="28"/>
              </w:rPr>
              <w:t xml:space="preserve"> – May 2</w:t>
            </w:r>
            <w:r w:rsidR="00D14EC2">
              <w:rPr>
                <w:rFonts w:ascii="Century Gothic" w:hAnsi="Century Gothic"/>
                <w:sz w:val="28"/>
                <w:szCs w:val="28"/>
              </w:rPr>
              <w:t>4</w:t>
            </w:r>
            <w:r w:rsidRPr="00D20B66">
              <w:rPr>
                <w:rFonts w:ascii="Century Gothic" w:hAnsi="Century Gothic"/>
                <w:sz w:val="28"/>
                <w:szCs w:val="28"/>
              </w:rPr>
              <w:t>)</w:t>
            </w:r>
          </w:p>
        </w:tc>
      </w:tr>
      <w:tr w:rsidR="00B87BC7" w:rsidRPr="00B87BC7" w14:paraId="048B115C" w14:textId="77777777" w:rsidTr="00493CD2">
        <w:tc>
          <w:tcPr>
            <w:tcW w:w="10885" w:type="dxa"/>
            <w:shd w:val="clear" w:color="auto" w:fill="auto"/>
          </w:tcPr>
          <w:p w14:paraId="3083A89D" w14:textId="77777777" w:rsidR="00D20B66" w:rsidRPr="004A1CC6" w:rsidRDefault="00125E62" w:rsidP="00125E62">
            <w:pPr>
              <w:jc w:val="center"/>
              <w:rPr>
                <w:rFonts w:ascii="Century Gothic" w:hAnsi="Century Gothic"/>
                <w:b/>
                <w:bCs/>
                <w:sz w:val="28"/>
                <w:szCs w:val="28"/>
              </w:rPr>
            </w:pPr>
            <w:r w:rsidRPr="004A1CC6">
              <w:rPr>
                <w:rFonts w:ascii="Century Gothic" w:hAnsi="Century Gothic"/>
                <w:b/>
                <w:bCs/>
                <w:sz w:val="28"/>
                <w:szCs w:val="28"/>
              </w:rPr>
              <w:t>AP Exam Review</w:t>
            </w:r>
          </w:p>
          <w:p w14:paraId="119FA1EB" w14:textId="77777777" w:rsidR="00125E62" w:rsidRDefault="00125E62" w:rsidP="00125E62">
            <w:pPr>
              <w:jc w:val="center"/>
              <w:rPr>
                <w:rFonts w:ascii="Century Gothic" w:hAnsi="Century Gothic"/>
                <w:sz w:val="28"/>
                <w:szCs w:val="28"/>
              </w:rPr>
            </w:pPr>
            <w:r>
              <w:rPr>
                <w:rFonts w:ascii="Century Gothic" w:hAnsi="Century Gothic"/>
                <w:sz w:val="28"/>
                <w:szCs w:val="28"/>
              </w:rPr>
              <w:t xml:space="preserve">Students will review all material covered in this AP course in preparation for the upcoming AP Exam. </w:t>
            </w:r>
          </w:p>
          <w:p w14:paraId="6ABF9C41" w14:textId="77777777" w:rsidR="00125E62" w:rsidRDefault="00125E62" w:rsidP="00125E62">
            <w:pPr>
              <w:jc w:val="center"/>
              <w:rPr>
                <w:rFonts w:ascii="Century Gothic" w:hAnsi="Century Gothic"/>
                <w:sz w:val="28"/>
                <w:szCs w:val="28"/>
              </w:rPr>
            </w:pPr>
          </w:p>
          <w:p w14:paraId="2A0E6024" w14:textId="3EA3A6AA" w:rsidR="00125E62" w:rsidRPr="00502FA7" w:rsidRDefault="00491EAB" w:rsidP="00125E62">
            <w:pPr>
              <w:jc w:val="center"/>
              <w:rPr>
                <w:rFonts w:ascii="Century Gothic" w:hAnsi="Century Gothic"/>
                <w:b/>
                <w:bCs/>
                <w:sz w:val="28"/>
                <w:szCs w:val="28"/>
              </w:rPr>
            </w:pPr>
            <w:r>
              <w:rPr>
                <w:rFonts w:ascii="Century Gothic" w:hAnsi="Century Gothic"/>
                <w:b/>
                <w:bCs/>
                <w:sz w:val="28"/>
                <w:szCs w:val="28"/>
              </w:rPr>
              <w:t xml:space="preserve"> </w:t>
            </w:r>
          </w:p>
        </w:tc>
      </w:tr>
    </w:tbl>
    <w:p w14:paraId="7AF04C29" w14:textId="77777777" w:rsidR="00B87BC7" w:rsidRPr="00B87BC7" w:rsidRDefault="00B87BC7">
      <w:pPr>
        <w:rPr>
          <w:sz w:val="26"/>
          <w:szCs w:val="26"/>
        </w:rPr>
      </w:pPr>
    </w:p>
    <w:sectPr w:rsidR="00B87BC7" w:rsidRPr="00B87BC7" w:rsidSect="00B87BC7">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F5AA" w14:textId="77777777" w:rsidR="0053476D" w:rsidRDefault="0053476D" w:rsidP="00B87BC7">
      <w:pPr>
        <w:spacing w:after="0" w:line="240" w:lineRule="auto"/>
      </w:pPr>
      <w:r>
        <w:separator/>
      </w:r>
    </w:p>
  </w:endnote>
  <w:endnote w:type="continuationSeparator" w:id="0">
    <w:p w14:paraId="1ECFE0B0" w14:textId="77777777" w:rsidR="0053476D" w:rsidRDefault="0053476D" w:rsidP="00B87BC7">
      <w:pPr>
        <w:spacing w:after="0" w:line="240" w:lineRule="auto"/>
      </w:pPr>
      <w:r>
        <w:continuationSeparator/>
      </w:r>
    </w:p>
  </w:endnote>
  <w:endnote w:type="continuationNotice" w:id="1">
    <w:p w14:paraId="0ECE7A26" w14:textId="77777777" w:rsidR="0053476D" w:rsidRDefault="00534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A338A" w14:textId="77777777" w:rsidR="0053476D" w:rsidRDefault="0053476D" w:rsidP="00B87BC7">
      <w:pPr>
        <w:spacing w:after="0" w:line="240" w:lineRule="auto"/>
      </w:pPr>
      <w:r>
        <w:separator/>
      </w:r>
    </w:p>
  </w:footnote>
  <w:footnote w:type="continuationSeparator" w:id="0">
    <w:p w14:paraId="43A43B4A" w14:textId="77777777" w:rsidR="0053476D" w:rsidRDefault="0053476D" w:rsidP="00B87BC7">
      <w:pPr>
        <w:spacing w:after="0" w:line="240" w:lineRule="auto"/>
      </w:pPr>
      <w:r>
        <w:continuationSeparator/>
      </w:r>
    </w:p>
  </w:footnote>
  <w:footnote w:type="continuationNotice" w:id="1">
    <w:p w14:paraId="612CEBAE" w14:textId="77777777" w:rsidR="0053476D" w:rsidRDefault="00534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9D857" w14:textId="704FAAC2" w:rsidR="00B87BC7" w:rsidRDefault="00B87BC7" w:rsidP="00B87BC7">
    <w:pPr>
      <w:pStyle w:val="Header"/>
      <w:rPr>
        <w:rFonts w:ascii="Century Gothic" w:hAnsi="Century Gothic"/>
        <w:sz w:val="28"/>
        <w:szCs w:val="28"/>
      </w:rPr>
    </w:pPr>
    <w:r>
      <w:rPr>
        <w:noProof/>
      </w:rPr>
      <w:drawing>
        <wp:anchor distT="0" distB="0" distL="114300" distR="114300" simplePos="0" relativeHeight="251658240" behindDoc="1" locked="0" layoutInCell="1" allowOverlap="1" wp14:anchorId="49051BF6" wp14:editId="11F038CC">
          <wp:simplePos x="0" y="0"/>
          <wp:positionH relativeFrom="column">
            <wp:posOffset>482600</wp:posOffset>
          </wp:positionH>
          <wp:positionV relativeFrom="paragraph">
            <wp:posOffset>-93980</wp:posOffset>
          </wp:positionV>
          <wp:extent cx="666750" cy="647155"/>
          <wp:effectExtent l="0" t="0" r="0" b="635"/>
          <wp:wrapNone/>
          <wp:docPr id="2" name="Picture 2" descr="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row&#10;&#10;Description automatically generated"/>
                  <pic:cNvPicPr/>
                </pic:nvPicPr>
                <pic:blipFill rotWithShape="1">
                  <a:blip r:embed="rId1">
                    <a:extLst>
                      <a:ext uri="{28A0092B-C50C-407E-A947-70E740481C1C}">
                        <a14:useLocalDpi xmlns:a14="http://schemas.microsoft.com/office/drawing/2010/main" val="0"/>
                      </a:ext>
                    </a:extLst>
                  </a:blip>
                  <a:srcRect l="25330" t="11593" r="22984" b="18140"/>
                  <a:stretch/>
                </pic:blipFill>
                <pic:spPr bwMode="auto">
                  <a:xfrm>
                    <a:off x="0" y="0"/>
                    <a:ext cx="666750" cy="6471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FED4689" w14:textId="4EA308D1" w:rsidR="00B87BC7" w:rsidRPr="00D9213F" w:rsidRDefault="00BA068D" w:rsidP="00E11F8C">
    <w:pPr>
      <w:pStyle w:val="Header"/>
      <w:jc w:val="center"/>
      <w:rPr>
        <w:rFonts w:ascii="Century Gothic" w:hAnsi="Century Gothic"/>
        <w:sz w:val="36"/>
        <w:szCs w:val="36"/>
      </w:rPr>
    </w:pPr>
    <w:r>
      <w:rPr>
        <w:rFonts w:ascii="Century Gothic" w:hAnsi="Century Gothic"/>
        <w:sz w:val="28"/>
        <w:szCs w:val="28"/>
      </w:rPr>
      <w:t xml:space="preserve">AP </w:t>
    </w:r>
    <w:r w:rsidR="006C29E3">
      <w:rPr>
        <w:rFonts w:ascii="Century Gothic" w:hAnsi="Century Gothic"/>
        <w:sz w:val="28"/>
        <w:szCs w:val="28"/>
      </w:rPr>
      <w:t>Precalculus</w:t>
    </w:r>
    <w:r w:rsidR="00E11F8C">
      <w:rPr>
        <w:rFonts w:ascii="Century Gothic" w:hAnsi="Century Gothic"/>
        <w:sz w:val="28"/>
        <w:szCs w:val="28"/>
      </w:rPr>
      <w:t xml:space="preserve"> </w:t>
    </w:r>
    <w:r w:rsidR="00B87BC7">
      <w:rPr>
        <w:rFonts w:ascii="Century Gothic" w:hAnsi="Century Gothic"/>
        <w:sz w:val="28"/>
        <w:szCs w:val="28"/>
      </w:rPr>
      <w:t xml:space="preserve">Year </w:t>
    </w:r>
    <w:proofErr w:type="gramStart"/>
    <w:r w:rsidR="00B87BC7">
      <w:rPr>
        <w:rFonts w:ascii="Century Gothic" w:hAnsi="Century Gothic"/>
        <w:sz w:val="28"/>
        <w:szCs w:val="28"/>
      </w:rPr>
      <w:t>at a Glance</w:t>
    </w:r>
    <w:proofErr w:type="gramEnd"/>
  </w:p>
  <w:p w14:paraId="1817D50E" w14:textId="3860B013" w:rsidR="00B87BC7" w:rsidRDefault="00B87BC7">
    <w:pPr>
      <w:pStyle w:val="Header"/>
    </w:pPr>
  </w:p>
  <w:p w14:paraId="73CE3680" w14:textId="77777777" w:rsidR="00B87BC7" w:rsidRDefault="00B87B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1C1126"/>
    <w:multiLevelType w:val="hybridMultilevel"/>
    <w:tmpl w:val="B05C2E10"/>
    <w:lvl w:ilvl="0" w:tplc="3604B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184801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BC7"/>
    <w:rsid w:val="0005394D"/>
    <w:rsid w:val="00054F76"/>
    <w:rsid w:val="00056390"/>
    <w:rsid w:val="00057222"/>
    <w:rsid w:val="00057E50"/>
    <w:rsid w:val="000811B9"/>
    <w:rsid w:val="000915A1"/>
    <w:rsid w:val="00091961"/>
    <w:rsid w:val="000A4CAD"/>
    <w:rsid w:val="000C4C42"/>
    <w:rsid w:val="000C54C4"/>
    <w:rsid w:val="000E3135"/>
    <w:rsid w:val="000F4BD4"/>
    <w:rsid w:val="00105E46"/>
    <w:rsid w:val="001066D2"/>
    <w:rsid w:val="00111705"/>
    <w:rsid w:val="00114C18"/>
    <w:rsid w:val="00117434"/>
    <w:rsid w:val="001232F1"/>
    <w:rsid w:val="001256F7"/>
    <w:rsid w:val="00125E62"/>
    <w:rsid w:val="001270D2"/>
    <w:rsid w:val="001356E0"/>
    <w:rsid w:val="00142BB3"/>
    <w:rsid w:val="00153039"/>
    <w:rsid w:val="00155E86"/>
    <w:rsid w:val="00172084"/>
    <w:rsid w:val="00173688"/>
    <w:rsid w:val="00173D96"/>
    <w:rsid w:val="0018200A"/>
    <w:rsid w:val="001935AD"/>
    <w:rsid w:val="00195C59"/>
    <w:rsid w:val="00197150"/>
    <w:rsid w:val="001B082A"/>
    <w:rsid w:val="001B10C3"/>
    <w:rsid w:val="001B1C29"/>
    <w:rsid w:val="001B485D"/>
    <w:rsid w:val="001B560B"/>
    <w:rsid w:val="001D19DE"/>
    <w:rsid w:val="001D29A2"/>
    <w:rsid w:val="001E4B7E"/>
    <w:rsid w:val="001F05CA"/>
    <w:rsid w:val="001F0BAD"/>
    <w:rsid w:val="00207420"/>
    <w:rsid w:val="00211AC4"/>
    <w:rsid w:val="00214668"/>
    <w:rsid w:val="0022359B"/>
    <w:rsid w:val="00236142"/>
    <w:rsid w:val="00245B00"/>
    <w:rsid w:val="00254325"/>
    <w:rsid w:val="0025686B"/>
    <w:rsid w:val="00257EF8"/>
    <w:rsid w:val="00260C7D"/>
    <w:rsid w:val="00264B04"/>
    <w:rsid w:val="002651E8"/>
    <w:rsid w:val="002664A5"/>
    <w:rsid w:val="002745C9"/>
    <w:rsid w:val="00283895"/>
    <w:rsid w:val="00297D39"/>
    <w:rsid w:val="002A65FE"/>
    <w:rsid w:val="002B74F1"/>
    <w:rsid w:val="002C1CFC"/>
    <w:rsid w:val="002C2963"/>
    <w:rsid w:val="002C4450"/>
    <w:rsid w:val="002D00CB"/>
    <w:rsid w:val="002D0298"/>
    <w:rsid w:val="002D09BE"/>
    <w:rsid w:val="002D0D7A"/>
    <w:rsid w:val="002F3767"/>
    <w:rsid w:val="002F3941"/>
    <w:rsid w:val="002F56AD"/>
    <w:rsid w:val="003008C6"/>
    <w:rsid w:val="0031758F"/>
    <w:rsid w:val="0032008A"/>
    <w:rsid w:val="00320FDB"/>
    <w:rsid w:val="003328C9"/>
    <w:rsid w:val="0033713E"/>
    <w:rsid w:val="00351DE4"/>
    <w:rsid w:val="00367BA7"/>
    <w:rsid w:val="00380222"/>
    <w:rsid w:val="00394A79"/>
    <w:rsid w:val="003958AC"/>
    <w:rsid w:val="003A488F"/>
    <w:rsid w:val="003A76F2"/>
    <w:rsid w:val="003B2E9D"/>
    <w:rsid w:val="003B4D34"/>
    <w:rsid w:val="003D13F2"/>
    <w:rsid w:val="003F7C25"/>
    <w:rsid w:val="00407D22"/>
    <w:rsid w:val="00407ED3"/>
    <w:rsid w:val="00422BFD"/>
    <w:rsid w:val="00430D4C"/>
    <w:rsid w:val="004328BA"/>
    <w:rsid w:val="0044755A"/>
    <w:rsid w:val="0046713D"/>
    <w:rsid w:val="00471531"/>
    <w:rsid w:val="00472482"/>
    <w:rsid w:val="004753D2"/>
    <w:rsid w:val="00475622"/>
    <w:rsid w:val="00481C91"/>
    <w:rsid w:val="00484DE7"/>
    <w:rsid w:val="00485160"/>
    <w:rsid w:val="00491E9B"/>
    <w:rsid w:val="00491EAB"/>
    <w:rsid w:val="00496908"/>
    <w:rsid w:val="004A1CC6"/>
    <w:rsid w:val="004B2B6B"/>
    <w:rsid w:val="004B7675"/>
    <w:rsid w:val="004E38EC"/>
    <w:rsid w:val="004F501F"/>
    <w:rsid w:val="00502FA7"/>
    <w:rsid w:val="00506EBE"/>
    <w:rsid w:val="00510412"/>
    <w:rsid w:val="00515215"/>
    <w:rsid w:val="005165BC"/>
    <w:rsid w:val="00517281"/>
    <w:rsid w:val="00521C8B"/>
    <w:rsid w:val="00527481"/>
    <w:rsid w:val="0053476D"/>
    <w:rsid w:val="0053714E"/>
    <w:rsid w:val="00537D9B"/>
    <w:rsid w:val="00546565"/>
    <w:rsid w:val="00564E87"/>
    <w:rsid w:val="0057009A"/>
    <w:rsid w:val="005757F2"/>
    <w:rsid w:val="00587118"/>
    <w:rsid w:val="005979F9"/>
    <w:rsid w:val="005B1795"/>
    <w:rsid w:val="005B7A75"/>
    <w:rsid w:val="005C1BBC"/>
    <w:rsid w:val="005D3700"/>
    <w:rsid w:val="005D6631"/>
    <w:rsid w:val="00603272"/>
    <w:rsid w:val="00603659"/>
    <w:rsid w:val="00626C80"/>
    <w:rsid w:val="00631262"/>
    <w:rsid w:val="0063146A"/>
    <w:rsid w:val="00631B20"/>
    <w:rsid w:val="00647A5C"/>
    <w:rsid w:val="006509B1"/>
    <w:rsid w:val="006622A6"/>
    <w:rsid w:val="00690E6E"/>
    <w:rsid w:val="006A4FC3"/>
    <w:rsid w:val="006C1AC2"/>
    <w:rsid w:val="006C29E3"/>
    <w:rsid w:val="006C7BCF"/>
    <w:rsid w:val="006E2A65"/>
    <w:rsid w:val="006E3D3F"/>
    <w:rsid w:val="006F2550"/>
    <w:rsid w:val="006F4FBF"/>
    <w:rsid w:val="00710A56"/>
    <w:rsid w:val="00713A25"/>
    <w:rsid w:val="00723A76"/>
    <w:rsid w:val="00730AF0"/>
    <w:rsid w:val="0075165C"/>
    <w:rsid w:val="00767AC2"/>
    <w:rsid w:val="00775F29"/>
    <w:rsid w:val="00780A47"/>
    <w:rsid w:val="0078186F"/>
    <w:rsid w:val="007C274F"/>
    <w:rsid w:val="007C3351"/>
    <w:rsid w:val="007D7E11"/>
    <w:rsid w:val="007E3B07"/>
    <w:rsid w:val="007E4EDE"/>
    <w:rsid w:val="007F155E"/>
    <w:rsid w:val="007F4CB8"/>
    <w:rsid w:val="008057D4"/>
    <w:rsid w:val="008116E0"/>
    <w:rsid w:val="00814EFD"/>
    <w:rsid w:val="00815133"/>
    <w:rsid w:val="00820B6D"/>
    <w:rsid w:val="00862FE0"/>
    <w:rsid w:val="0086480B"/>
    <w:rsid w:val="00882CF0"/>
    <w:rsid w:val="00884B4D"/>
    <w:rsid w:val="00891950"/>
    <w:rsid w:val="0089619A"/>
    <w:rsid w:val="008A46B6"/>
    <w:rsid w:val="008B35B8"/>
    <w:rsid w:val="008B4365"/>
    <w:rsid w:val="008E6EBD"/>
    <w:rsid w:val="008F4102"/>
    <w:rsid w:val="008F5E41"/>
    <w:rsid w:val="009051EF"/>
    <w:rsid w:val="00910A4E"/>
    <w:rsid w:val="0092135E"/>
    <w:rsid w:val="00922F15"/>
    <w:rsid w:val="009241F8"/>
    <w:rsid w:val="00944895"/>
    <w:rsid w:val="009753E4"/>
    <w:rsid w:val="0097683B"/>
    <w:rsid w:val="00980776"/>
    <w:rsid w:val="00995BB6"/>
    <w:rsid w:val="00997C01"/>
    <w:rsid w:val="009A6A4F"/>
    <w:rsid w:val="009D03ED"/>
    <w:rsid w:val="00A170CF"/>
    <w:rsid w:val="00A203C3"/>
    <w:rsid w:val="00A20B67"/>
    <w:rsid w:val="00A304A9"/>
    <w:rsid w:val="00A449CB"/>
    <w:rsid w:val="00A47879"/>
    <w:rsid w:val="00A55C8F"/>
    <w:rsid w:val="00A630E4"/>
    <w:rsid w:val="00A745ED"/>
    <w:rsid w:val="00A84781"/>
    <w:rsid w:val="00A94DC0"/>
    <w:rsid w:val="00A97D78"/>
    <w:rsid w:val="00AA32D1"/>
    <w:rsid w:val="00AA53D2"/>
    <w:rsid w:val="00AB455B"/>
    <w:rsid w:val="00AB4862"/>
    <w:rsid w:val="00AD0945"/>
    <w:rsid w:val="00AD6410"/>
    <w:rsid w:val="00AF1836"/>
    <w:rsid w:val="00AF1A67"/>
    <w:rsid w:val="00AF703D"/>
    <w:rsid w:val="00B101CF"/>
    <w:rsid w:val="00B30B27"/>
    <w:rsid w:val="00B4187D"/>
    <w:rsid w:val="00B432A6"/>
    <w:rsid w:val="00B57D6E"/>
    <w:rsid w:val="00B705CF"/>
    <w:rsid w:val="00B7105A"/>
    <w:rsid w:val="00B7209B"/>
    <w:rsid w:val="00B75B4C"/>
    <w:rsid w:val="00B82277"/>
    <w:rsid w:val="00B87BC7"/>
    <w:rsid w:val="00BA068D"/>
    <w:rsid w:val="00BA6EEB"/>
    <w:rsid w:val="00BD0841"/>
    <w:rsid w:val="00BF0E02"/>
    <w:rsid w:val="00C13DF1"/>
    <w:rsid w:val="00C3222A"/>
    <w:rsid w:val="00C47E48"/>
    <w:rsid w:val="00C6147A"/>
    <w:rsid w:val="00C657DE"/>
    <w:rsid w:val="00C90FB9"/>
    <w:rsid w:val="00C92FBC"/>
    <w:rsid w:val="00CA3CB3"/>
    <w:rsid w:val="00CC4CD4"/>
    <w:rsid w:val="00CD04A5"/>
    <w:rsid w:val="00CD1872"/>
    <w:rsid w:val="00CD3BA0"/>
    <w:rsid w:val="00CD3C9D"/>
    <w:rsid w:val="00CE7C32"/>
    <w:rsid w:val="00CF1BC2"/>
    <w:rsid w:val="00D07113"/>
    <w:rsid w:val="00D07907"/>
    <w:rsid w:val="00D12BAF"/>
    <w:rsid w:val="00D14EC2"/>
    <w:rsid w:val="00D15E05"/>
    <w:rsid w:val="00D16093"/>
    <w:rsid w:val="00D2077B"/>
    <w:rsid w:val="00D20B66"/>
    <w:rsid w:val="00D3030C"/>
    <w:rsid w:val="00D34377"/>
    <w:rsid w:val="00D44EA0"/>
    <w:rsid w:val="00D520F1"/>
    <w:rsid w:val="00D52B94"/>
    <w:rsid w:val="00D6104A"/>
    <w:rsid w:val="00D63420"/>
    <w:rsid w:val="00D760C5"/>
    <w:rsid w:val="00D876DF"/>
    <w:rsid w:val="00D9207C"/>
    <w:rsid w:val="00D94C23"/>
    <w:rsid w:val="00D97913"/>
    <w:rsid w:val="00DA1F4A"/>
    <w:rsid w:val="00DB552F"/>
    <w:rsid w:val="00DC682F"/>
    <w:rsid w:val="00DE4F8D"/>
    <w:rsid w:val="00E0104D"/>
    <w:rsid w:val="00E11F8C"/>
    <w:rsid w:val="00E153B6"/>
    <w:rsid w:val="00E162FC"/>
    <w:rsid w:val="00E20048"/>
    <w:rsid w:val="00E23CA9"/>
    <w:rsid w:val="00E270E7"/>
    <w:rsid w:val="00E307EA"/>
    <w:rsid w:val="00E32352"/>
    <w:rsid w:val="00E3581D"/>
    <w:rsid w:val="00E54677"/>
    <w:rsid w:val="00E60053"/>
    <w:rsid w:val="00E634B8"/>
    <w:rsid w:val="00E85FC3"/>
    <w:rsid w:val="00EA5A98"/>
    <w:rsid w:val="00EB2461"/>
    <w:rsid w:val="00EB3CAF"/>
    <w:rsid w:val="00EC0F94"/>
    <w:rsid w:val="00EC1120"/>
    <w:rsid w:val="00EC797E"/>
    <w:rsid w:val="00EE2A14"/>
    <w:rsid w:val="00F0126B"/>
    <w:rsid w:val="00F027C0"/>
    <w:rsid w:val="00F04973"/>
    <w:rsid w:val="00F0680D"/>
    <w:rsid w:val="00F26661"/>
    <w:rsid w:val="00F31D59"/>
    <w:rsid w:val="00F472E1"/>
    <w:rsid w:val="00F47B54"/>
    <w:rsid w:val="00F5100D"/>
    <w:rsid w:val="00F65FD9"/>
    <w:rsid w:val="00F7556A"/>
    <w:rsid w:val="00F8478B"/>
    <w:rsid w:val="00F84F2C"/>
    <w:rsid w:val="00F9781E"/>
    <w:rsid w:val="00FA1E52"/>
    <w:rsid w:val="00FB64F8"/>
    <w:rsid w:val="00FB660A"/>
    <w:rsid w:val="00FC11FC"/>
    <w:rsid w:val="00FD0994"/>
    <w:rsid w:val="00FE0E7C"/>
    <w:rsid w:val="00FE32C7"/>
    <w:rsid w:val="00FF7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D560F"/>
  <w15:chartTrackingRefBased/>
  <w15:docId w15:val="{9B6EACFD-7EB4-44D0-8488-2FC3BCD01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7B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7BC7"/>
    <w:pPr>
      <w:ind w:left="720"/>
      <w:contextualSpacing/>
    </w:pPr>
  </w:style>
  <w:style w:type="character" w:styleId="Hyperlink">
    <w:name w:val="Hyperlink"/>
    <w:basedOn w:val="DefaultParagraphFont"/>
    <w:uiPriority w:val="99"/>
    <w:unhideWhenUsed/>
    <w:rsid w:val="00B87BC7"/>
    <w:rPr>
      <w:color w:val="0563C1" w:themeColor="hyperlink"/>
      <w:u w:val="single"/>
    </w:rPr>
  </w:style>
  <w:style w:type="paragraph" w:styleId="NormalWeb">
    <w:name w:val="Normal (Web)"/>
    <w:basedOn w:val="Normal"/>
    <w:uiPriority w:val="99"/>
    <w:unhideWhenUsed/>
    <w:rsid w:val="00B87BC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87B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7BC7"/>
  </w:style>
  <w:style w:type="paragraph" w:styleId="Footer">
    <w:name w:val="footer"/>
    <w:basedOn w:val="Normal"/>
    <w:link w:val="FooterChar"/>
    <w:uiPriority w:val="99"/>
    <w:unhideWhenUsed/>
    <w:rsid w:val="00B87B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7BC7"/>
  </w:style>
  <w:style w:type="character" w:styleId="PlaceholderText">
    <w:name w:val="Placeholder Text"/>
    <w:basedOn w:val="DefaultParagraphFont"/>
    <w:uiPriority w:val="99"/>
    <w:semiHidden/>
    <w:rsid w:val="00BD0841"/>
    <w:rPr>
      <w:color w:val="808080"/>
    </w:rPr>
  </w:style>
  <w:style w:type="character" w:styleId="UnresolvedMention">
    <w:name w:val="Unresolved Mention"/>
    <w:basedOn w:val="DefaultParagraphFont"/>
    <w:uiPriority w:val="99"/>
    <w:semiHidden/>
    <w:unhideWhenUsed/>
    <w:rsid w:val="00114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p.collegeboard.org/login" TargetMode="External"/><Relationship Id="rId3" Type="http://schemas.openxmlformats.org/officeDocument/2006/relationships/settings" Target="settings.xml"/><Relationship Id="rId7" Type="http://schemas.openxmlformats.org/officeDocument/2006/relationships/hyperlink" Target="https://www.khanacademy.org/math/precalcul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546</Words>
  <Characters>3116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Mierzwinski</dc:creator>
  <cp:keywords/>
  <dc:description/>
  <cp:lastModifiedBy>Jenna Yow</cp:lastModifiedBy>
  <cp:revision>42</cp:revision>
  <cp:lastPrinted>2022-02-07T15:45:00Z</cp:lastPrinted>
  <dcterms:created xsi:type="dcterms:W3CDTF">2023-07-03T12:49:00Z</dcterms:created>
  <dcterms:modified xsi:type="dcterms:W3CDTF">2023-07-03T13:38:00Z</dcterms:modified>
</cp:coreProperties>
</file>