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Look w:val="04A0" w:firstRow="1" w:lastRow="0" w:firstColumn="1" w:lastColumn="0" w:noHBand="0" w:noVBand="1"/>
      </w:tblPr>
      <w:tblGrid>
        <w:gridCol w:w="10885"/>
      </w:tblGrid>
      <w:tr w:rsidR="00B87BC7" w14:paraId="41691C2C" w14:textId="77777777" w:rsidTr="00B87BC7">
        <w:tc>
          <w:tcPr>
            <w:tcW w:w="10885" w:type="dxa"/>
          </w:tcPr>
          <w:p w14:paraId="628FCAEF" w14:textId="1A625661" w:rsidR="00B87BC7" w:rsidRPr="009A3851" w:rsidRDefault="00B87BC7" w:rsidP="00493CD2">
            <w:pPr>
              <w:tabs>
                <w:tab w:val="left" w:pos="7845"/>
              </w:tabs>
              <w:spacing w:line="360" w:lineRule="auto"/>
              <w:contextualSpacing/>
              <w:rPr>
                <w:rFonts w:ascii="Century Gothic" w:hAnsi="Century Gothic"/>
                <w:b/>
                <w:bCs/>
                <w:sz w:val="28"/>
                <w:szCs w:val="28"/>
              </w:rPr>
            </w:pPr>
            <w:r w:rsidRPr="009A3851">
              <w:rPr>
                <w:rFonts w:ascii="Century Gothic" w:hAnsi="Century Gothic"/>
                <w:b/>
                <w:bCs/>
                <w:sz w:val="28"/>
                <w:szCs w:val="28"/>
              </w:rPr>
              <w:t>Scope and Sequence 202</w:t>
            </w:r>
            <w:r w:rsidR="002B6A9B">
              <w:rPr>
                <w:rFonts w:ascii="Century Gothic" w:hAnsi="Century Gothic"/>
                <w:b/>
                <w:bCs/>
                <w:sz w:val="28"/>
                <w:szCs w:val="28"/>
              </w:rPr>
              <w:t>3</w:t>
            </w:r>
            <w:r w:rsidRPr="009A3851">
              <w:rPr>
                <w:rFonts w:ascii="Century Gothic" w:hAnsi="Century Gothic"/>
                <w:b/>
                <w:bCs/>
                <w:sz w:val="28"/>
                <w:szCs w:val="28"/>
              </w:rPr>
              <w:t xml:space="preserve"> - 202</w:t>
            </w:r>
            <w:r w:rsidR="002B6A9B">
              <w:rPr>
                <w:rFonts w:ascii="Century Gothic" w:hAnsi="Century Gothic"/>
                <w:b/>
                <w:bCs/>
                <w:sz w:val="28"/>
                <w:szCs w:val="28"/>
              </w:rPr>
              <w:t>4</w:t>
            </w:r>
            <w:r w:rsidRPr="009A3851">
              <w:rPr>
                <w:rFonts w:ascii="Century Gothic" w:hAnsi="Century Gothic"/>
                <w:b/>
                <w:bCs/>
                <w:sz w:val="28"/>
                <w:szCs w:val="28"/>
              </w:rPr>
              <w:tab/>
            </w:r>
          </w:p>
        </w:tc>
      </w:tr>
      <w:tr w:rsidR="00B87BC7" w14:paraId="2F6E9FB8" w14:textId="77777777" w:rsidTr="00B87BC7">
        <w:tc>
          <w:tcPr>
            <w:tcW w:w="10885" w:type="dxa"/>
          </w:tcPr>
          <w:p w14:paraId="786AACA8" w14:textId="77777777" w:rsidR="00B87BC7" w:rsidRPr="00B87BC7" w:rsidRDefault="00B87BC7" w:rsidP="00493CD2">
            <w:pPr>
              <w:spacing w:line="360" w:lineRule="auto"/>
              <w:contextualSpacing/>
              <w:rPr>
                <w:rFonts w:ascii="Century Gothic" w:hAnsi="Century Gothic"/>
                <w:sz w:val="26"/>
                <w:szCs w:val="26"/>
              </w:rPr>
            </w:pPr>
            <w:r w:rsidRPr="00B87BC7">
              <w:rPr>
                <w:rFonts w:ascii="Century Gothic" w:hAnsi="Century Gothic"/>
                <w:b/>
                <w:bCs/>
                <w:sz w:val="26"/>
                <w:szCs w:val="26"/>
              </w:rPr>
              <w:t>Please Note:</w:t>
            </w:r>
            <w:r w:rsidRPr="00B87BC7">
              <w:rPr>
                <w:rFonts w:ascii="Century Gothic" w:hAnsi="Century Gothic"/>
                <w:sz w:val="26"/>
                <w:szCs w:val="26"/>
              </w:rPr>
              <w:t xml:space="preserve"> All standards in the state course description are designed to be learned by the end of the course. This guide represents a recommended timeline and sequence to be used voluntarily by teachers for planning purposes.  Specific question regarding when content will be addressed in a specific course are best answered by the individual teacher. </w:t>
            </w:r>
          </w:p>
        </w:tc>
      </w:tr>
      <w:tr w:rsidR="00B87BC7" w14:paraId="017E30E0" w14:textId="77777777" w:rsidTr="00B87BC7">
        <w:tc>
          <w:tcPr>
            <w:tcW w:w="10885" w:type="dxa"/>
          </w:tcPr>
          <w:p w14:paraId="41F224E5" w14:textId="77777777" w:rsidR="00B87BC7" w:rsidRPr="00BE625D" w:rsidRDefault="00B87BC7" w:rsidP="00493CD2">
            <w:pPr>
              <w:spacing w:line="360" w:lineRule="auto"/>
              <w:contextualSpacing/>
              <w:rPr>
                <w:sz w:val="28"/>
                <w:szCs w:val="28"/>
              </w:rPr>
            </w:pPr>
            <w:r w:rsidRPr="00BE625D">
              <w:rPr>
                <w:rFonts w:ascii="Century Gothic" w:hAnsi="Century Gothic"/>
                <w:b/>
                <w:bCs/>
                <w:sz w:val="28"/>
                <w:szCs w:val="28"/>
              </w:rPr>
              <w:t>Course Resources</w:t>
            </w:r>
          </w:p>
        </w:tc>
      </w:tr>
      <w:tr w:rsidR="00B87BC7" w14:paraId="464CDE0D" w14:textId="77777777" w:rsidTr="00B87BC7">
        <w:tc>
          <w:tcPr>
            <w:tcW w:w="10885" w:type="dxa"/>
          </w:tcPr>
          <w:p w14:paraId="19B13250" w14:textId="77777777" w:rsidR="001847C3" w:rsidRDefault="00B87BC7" w:rsidP="00493CD2">
            <w:pPr>
              <w:spacing w:line="360" w:lineRule="auto"/>
              <w:contextualSpacing/>
              <w:rPr>
                <w:rFonts w:ascii="Century Gothic" w:hAnsi="Century Gothic"/>
                <w:b/>
                <w:bCs/>
                <w:sz w:val="26"/>
                <w:szCs w:val="26"/>
              </w:rPr>
            </w:pPr>
            <w:r w:rsidRPr="00BE625D">
              <w:rPr>
                <w:rFonts w:ascii="Century Gothic" w:hAnsi="Century Gothic"/>
                <w:b/>
                <w:bCs/>
                <w:sz w:val="26"/>
                <w:szCs w:val="26"/>
              </w:rPr>
              <w:t xml:space="preserve">Publisher Resource: </w:t>
            </w:r>
          </w:p>
          <w:p w14:paraId="2E101B21" w14:textId="2F8C7421" w:rsidR="009B6BB5" w:rsidRPr="009B6BB5" w:rsidRDefault="00AC458D" w:rsidP="009B6BB5">
            <w:pPr>
              <w:contextualSpacing/>
              <w:rPr>
                <w:rFonts w:ascii="Century Gothic" w:hAnsi="Century Gothic"/>
                <w:sz w:val="26"/>
                <w:szCs w:val="26"/>
              </w:rPr>
            </w:pPr>
            <w:r w:rsidRPr="009B6BB5">
              <w:rPr>
                <w:rFonts w:ascii="Century Gothic" w:hAnsi="Century Gothic"/>
                <w:sz w:val="26"/>
                <w:szCs w:val="26"/>
              </w:rPr>
              <w:t>Calculus: Graphical, Numerical, Algebraic 6e</w:t>
            </w:r>
            <w:r w:rsidR="001847C3" w:rsidRPr="009B6BB5">
              <w:rPr>
                <w:rFonts w:ascii="Century Gothic" w:hAnsi="Century Gothic"/>
                <w:sz w:val="26"/>
                <w:szCs w:val="26"/>
              </w:rPr>
              <w:t xml:space="preserve">, </w:t>
            </w:r>
            <w:proofErr w:type="spellStart"/>
            <w:r w:rsidR="001847C3" w:rsidRPr="009B6BB5">
              <w:rPr>
                <w:rFonts w:ascii="Century Gothic" w:hAnsi="Century Gothic"/>
                <w:sz w:val="26"/>
                <w:szCs w:val="26"/>
              </w:rPr>
              <w:t>Savvas</w:t>
            </w:r>
            <w:proofErr w:type="spellEnd"/>
            <w:r w:rsidR="001847C3" w:rsidRPr="009B6BB5">
              <w:rPr>
                <w:rFonts w:ascii="Century Gothic" w:hAnsi="Century Gothic"/>
                <w:sz w:val="26"/>
                <w:szCs w:val="26"/>
              </w:rPr>
              <w:t xml:space="preserve"> Learning Company </w:t>
            </w:r>
            <w:r w:rsidR="009B6BB5" w:rsidRPr="009B6BB5">
              <w:rPr>
                <w:rFonts w:ascii="Century Gothic" w:hAnsi="Century Gothic"/>
                <w:sz w:val="26"/>
                <w:szCs w:val="26"/>
              </w:rPr>
              <w:t>(Clever – use your active directory; does not support Internet Explorer)</w:t>
            </w:r>
          </w:p>
          <w:p w14:paraId="6125A005" w14:textId="3AED97FB" w:rsidR="00B87BC7" w:rsidRPr="00BE625D" w:rsidRDefault="00B87BC7" w:rsidP="00493CD2">
            <w:pPr>
              <w:spacing w:line="360" w:lineRule="auto"/>
              <w:contextualSpacing/>
              <w:rPr>
                <w:rFonts w:ascii="Century Gothic" w:hAnsi="Century Gothic"/>
                <w:b/>
                <w:bCs/>
                <w:sz w:val="26"/>
                <w:szCs w:val="26"/>
              </w:rPr>
            </w:pPr>
          </w:p>
          <w:p w14:paraId="63238BE5" w14:textId="539103A6" w:rsidR="00B87BC7" w:rsidRDefault="00B87BC7" w:rsidP="00493CD2">
            <w:pPr>
              <w:spacing w:line="360" w:lineRule="auto"/>
              <w:contextualSpacing/>
              <w:rPr>
                <w:rFonts w:ascii="Century Gothic" w:hAnsi="Century Gothic"/>
                <w:b/>
                <w:bCs/>
                <w:sz w:val="26"/>
                <w:szCs w:val="26"/>
              </w:rPr>
            </w:pPr>
            <w:r w:rsidRPr="00BE625D">
              <w:rPr>
                <w:rFonts w:ascii="Century Gothic" w:hAnsi="Century Gothic"/>
                <w:b/>
                <w:bCs/>
                <w:sz w:val="26"/>
                <w:szCs w:val="26"/>
              </w:rPr>
              <w:t xml:space="preserve">Supplemental Resources: </w:t>
            </w:r>
          </w:p>
          <w:p w14:paraId="7D45E140" w14:textId="03F90F00" w:rsidR="00202DBD" w:rsidRPr="00202DBD" w:rsidRDefault="005428BF" w:rsidP="00493CD2">
            <w:pPr>
              <w:spacing w:line="360" w:lineRule="auto"/>
              <w:contextualSpacing/>
              <w:rPr>
                <w:rFonts w:ascii="Century Gothic" w:hAnsi="Century Gothic"/>
                <w:sz w:val="26"/>
                <w:szCs w:val="26"/>
              </w:rPr>
            </w:pPr>
            <w:hyperlink r:id="rId7" w:history="1">
              <w:r w:rsidR="00202DBD" w:rsidRPr="00202DBD">
                <w:rPr>
                  <w:rStyle w:val="Hyperlink"/>
                  <w:rFonts w:ascii="Century Gothic" w:hAnsi="Century Gothic"/>
                  <w:sz w:val="26"/>
                  <w:szCs w:val="26"/>
                </w:rPr>
                <w:t>Khan Academy</w:t>
              </w:r>
            </w:hyperlink>
            <w:r w:rsidR="00202DBD">
              <w:rPr>
                <w:rFonts w:ascii="Century Gothic" w:hAnsi="Century Gothic"/>
                <w:sz w:val="26"/>
                <w:szCs w:val="26"/>
              </w:rPr>
              <w:t xml:space="preserve"> </w:t>
            </w:r>
            <w:r w:rsidR="00F041D0">
              <w:rPr>
                <w:rFonts w:ascii="Century Gothic" w:hAnsi="Century Gothic"/>
                <w:sz w:val="26"/>
                <w:szCs w:val="26"/>
              </w:rPr>
              <w:t>(does not support Internet Explorer)</w:t>
            </w:r>
          </w:p>
          <w:p w14:paraId="1DCFC1DC" w14:textId="77777777" w:rsidR="00B87BC7" w:rsidRPr="00BE625D" w:rsidRDefault="00B87BC7" w:rsidP="00CD3BA0">
            <w:pPr>
              <w:pStyle w:val="NormalWeb"/>
              <w:spacing w:before="0" w:beforeAutospacing="0" w:after="0" w:afterAutospacing="0" w:line="360" w:lineRule="auto"/>
              <w:ind w:left="540"/>
              <w:contextualSpacing/>
              <w:rPr>
                <w:rFonts w:ascii="Calibri" w:hAnsi="Calibri" w:cs="Calibri"/>
              </w:rPr>
            </w:pPr>
          </w:p>
        </w:tc>
      </w:tr>
      <w:tr w:rsidR="00B87BC7" w14:paraId="37A8BD5D" w14:textId="77777777" w:rsidTr="00B87BC7">
        <w:tc>
          <w:tcPr>
            <w:tcW w:w="10885" w:type="dxa"/>
          </w:tcPr>
          <w:p w14:paraId="0DEF7D5B" w14:textId="6A551211" w:rsidR="00B87BC7" w:rsidRPr="009A3851" w:rsidRDefault="00B87BC7" w:rsidP="00493CD2">
            <w:pPr>
              <w:spacing w:line="360" w:lineRule="auto"/>
              <w:contextualSpacing/>
              <w:rPr>
                <w:sz w:val="28"/>
                <w:szCs w:val="28"/>
              </w:rPr>
            </w:pPr>
            <w:r w:rsidRPr="009A3851">
              <w:rPr>
                <w:rFonts w:ascii="Century Gothic" w:hAnsi="Century Gothic"/>
                <w:b/>
                <w:bCs/>
                <w:sz w:val="28"/>
                <w:szCs w:val="28"/>
              </w:rPr>
              <w:t xml:space="preserve">In </w:t>
            </w:r>
            <w:r w:rsidR="00CD3BA0">
              <w:rPr>
                <w:rFonts w:ascii="Century Gothic" w:hAnsi="Century Gothic"/>
                <w:b/>
                <w:bCs/>
                <w:sz w:val="28"/>
                <w:szCs w:val="28"/>
              </w:rPr>
              <w:t xml:space="preserve">AP </w:t>
            </w:r>
            <w:r w:rsidR="00741E72">
              <w:rPr>
                <w:rFonts w:ascii="Century Gothic" w:hAnsi="Century Gothic"/>
                <w:b/>
                <w:bCs/>
                <w:sz w:val="28"/>
                <w:szCs w:val="28"/>
              </w:rPr>
              <w:t>Calculus AB</w:t>
            </w:r>
            <w:r w:rsidRPr="009A3851">
              <w:rPr>
                <w:rFonts w:ascii="Century Gothic" w:hAnsi="Century Gothic"/>
                <w:b/>
                <w:bCs/>
                <w:sz w:val="28"/>
                <w:szCs w:val="28"/>
              </w:rPr>
              <w:t>, instructional time will emphasize</w:t>
            </w:r>
            <w:r w:rsidR="00257EF8">
              <w:rPr>
                <w:rFonts w:ascii="Century Gothic" w:hAnsi="Century Gothic"/>
                <w:b/>
                <w:bCs/>
                <w:sz w:val="28"/>
                <w:szCs w:val="28"/>
              </w:rPr>
              <w:t xml:space="preserve"> </w:t>
            </w:r>
            <w:r w:rsidR="00741E72">
              <w:rPr>
                <w:rFonts w:ascii="Century Gothic" w:hAnsi="Century Gothic"/>
                <w:b/>
                <w:bCs/>
                <w:sz w:val="28"/>
                <w:szCs w:val="28"/>
              </w:rPr>
              <w:t>eight</w:t>
            </w:r>
            <w:r w:rsidRPr="009A3851">
              <w:rPr>
                <w:rFonts w:ascii="Century Gothic" w:hAnsi="Century Gothic"/>
                <w:b/>
                <w:bCs/>
                <w:sz w:val="28"/>
                <w:szCs w:val="28"/>
              </w:rPr>
              <w:t xml:space="preserve"> areas:</w:t>
            </w:r>
          </w:p>
        </w:tc>
      </w:tr>
      <w:tr w:rsidR="00B87BC7" w14:paraId="73C04824" w14:textId="77777777" w:rsidTr="00B87BC7">
        <w:tc>
          <w:tcPr>
            <w:tcW w:w="10885" w:type="dxa"/>
          </w:tcPr>
          <w:p w14:paraId="4B1752D6" w14:textId="77777777" w:rsidR="00CE287A" w:rsidRDefault="00741E72"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Limits and Continuity</w:t>
            </w:r>
          </w:p>
          <w:p w14:paraId="0D44DABD"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Differentiation: Definition and Fundamental Properties</w:t>
            </w:r>
          </w:p>
          <w:p w14:paraId="0487FD54" w14:textId="77777777" w:rsidR="00B87BC7"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Differentiation: Composite, Implicit, and Inverse Functions</w:t>
            </w:r>
            <w:r w:rsidR="00254325">
              <w:rPr>
                <w:rFonts w:ascii="Century Gothic" w:hAnsi="Century Gothic"/>
                <w:sz w:val="26"/>
                <w:szCs w:val="26"/>
              </w:rPr>
              <w:t xml:space="preserve"> </w:t>
            </w:r>
          </w:p>
          <w:p w14:paraId="6497B028"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Contextual Applications of Differentiation</w:t>
            </w:r>
          </w:p>
          <w:p w14:paraId="7678AD85"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Analytical Applications of Differentiation</w:t>
            </w:r>
          </w:p>
          <w:p w14:paraId="623D4738"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Integration and Accumulation of Change</w:t>
            </w:r>
          </w:p>
          <w:p w14:paraId="612B6C26" w14:textId="77777777" w:rsidR="00CE287A"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Differential Equations</w:t>
            </w:r>
          </w:p>
          <w:p w14:paraId="15C64E8E" w14:textId="6DFE155E" w:rsidR="00CE287A" w:rsidRPr="00254325" w:rsidRDefault="00CE287A" w:rsidP="00254325">
            <w:pPr>
              <w:pStyle w:val="ListParagraph"/>
              <w:numPr>
                <w:ilvl w:val="0"/>
                <w:numId w:val="1"/>
              </w:numPr>
              <w:spacing w:line="360" w:lineRule="auto"/>
              <w:rPr>
                <w:rFonts w:ascii="Century Gothic" w:hAnsi="Century Gothic"/>
                <w:sz w:val="26"/>
                <w:szCs w:val="26"/>
              </w:rPr>
            </w:pPr>
            <w:r>
              <w:rPr>
                <w:rFonts w:ascii="Century Gothic" w:hAnsi="Century Gothic"/>
                <w:sz w:val="26"/>
                <w:szCs w:val="26"/>
              </w:rPr>
              <w:t>Applications of Integration</w:t>
            </w:r>
          </w:p>
        </w:tc>
      </w:tr>
    </w:tbl>
    <w:p w14:paraId="06694B05" w14:textId="77777777" w:rsidR="0092135E" w:rsidRDefault="0092135E"/>
    <w:tbl>
      <w:tblPr>
        <w:tblStyle w:val="TableGrid"/>
        <w:tblW w:w="10885" w:type="dxa"/>
        <w:tblLook w:val="04A0" w:firstRow="1" w:lastRow="0" w:firstColumn="1" w:lastColumn="0" w:noHBand="0" w:noVBand="1"/>
      </w:tblPr>
      <w:tblGrid>
        <w:gridCol w:w="10885"/>
      </w:tblGrid>
      <w:tr w:rsidR="00B87BC7" w:rsidRPr="00B87BC7" w14:paraId="69288666" w14:textId="77777777" w:rsidTr="00493CD2">
        <w:tc>
          <w:tcPr>
            <w:tcW w:w="10885" w:type="dxa"/>
            <w:shd w:val="clear" w:color="auto" w:fill="D0CECE" w:themeFill="background2" w:themeFillShade="E6"/>
          </w:tcPr>
          <w:p w14:paraId="6FA6B2DC" w14:textId="7A74A6F8" w:rsidR="00B87BC7" w:rsidRPr="00B87BC7" w:rsidRDefault="00B87BC7" w:rsidP="00493CD2">
            <w:pPr>
              <w:jc w:val="center"/>
              <w:rPr>
                <w:rFonts w:ascii="Century Gothic" w:hAnsi="Century Gothic"/>
                <w:sz w:val="26"/>
                <w:szCs w:val="26"/>
              </w:rPr>
            </w:pPr>
            <w:r w:rsidRPr="00B87BC7">
              <w:rPr>
                <w:rFonts w:ascii="Century Gothic" w:hAnsi="Century Gothic"/>
                <w:sz w:val="26"/>
                <w:szCs w:val="26"/>
              </w:rPr>
              <w:t>Quarter 1 (August 10 – October 1</w:t>
            </w:r>
            <w:r w:rsidR="002B6A9B">
              <w:rPr>
                <w:rFonts w:ascii="Century Gothic" w:hAnsi="Century Gothic"/>
                <w:sz w:val="26"/>
                <w:szCs w:val="26"/>
              </w:rPr>
              <w:t>3</w:t>
            </w:r>
            <w:r w:rsidRPr="00B87BC7">
              <w:rPr>
                <w:rFonts w:ascii="Century Gothic" w:hAnsi="Century Gothic"/>
                <w:sz w:val="26"/>
                <w:szCs w:val="26"/>
              </w:rPr>
              <w:t>)</w:t>
            </w:r>
          </w:p>
        </w:tc>
      </w:tr>
      <w:tr w:rsidR="00B87BC7" w:rsidRPr="00B87BC7" w14:paraId="5EAB7C2B" w14:textId="77777777" w:rsidTr="00493CD2">
        <w:tc>
          <w:tcPr>
            <w:tcW w:w="10885" w:type="dxa"/>
          </w:tcPr>
          <w:p w14:paraId="26771DBA" w14:textId="77777777" w:rsidR="00155E86" w:rsidRPr="00EA030F" w:rsidRDefault="00CE287A" w:rsidP="00CE287A">
            <w:pPr>
              <w:rPr>
                <w:rFonts w:ascii="Century Gothic" w:hAnsi="Century Gothic" w:cs="Calibri"/>
                <w:b/>
                <w:bCs/>
                <w:sz w:val="28"/>
                <w:szCs w:val="28"/>
              </w:rPr>
            </w:pPr>
            <w:r w:rsidRPr="00EA030F">
              <w:rPr>
                <w:rFonts w:ascii="Century Gothic" w:hAnsi="Century Gothic"/>
                <w:b/>
                <w:bCs/>
                <w:sz w:val="28"/>
                <w:szCs w:val="28"/>
              </w:rPr>
              <w:t xml:space="preserve">Chapter 0: </w:t>
            </w:r>
            <w:r w:rsidRPr="00EA030F">
              <w:rPr>
                <w:rFonts w:ascii="Century Gothic" w:hAnsi="Century Gothic" w:cs="Calibri"/>
                <w:b/>
                <w:bCs/>
                <w:sz w:val="28"/>
                <w:szCs w:val="28"/>
              </w:rPr>
              <w:t>Prerequisites for Calculus</w:t>
            </w:r>
          </w:p>
          <w:p w14:paraId="38E59923" w14:textId="77777777" w:rsidR="00CE287A" w:rsidRPr="00EA030F" w:rsidRDefault="00CE287A" w:rsidP="00CE287A">
            <w:pPr>
              <w:rPr>
                <w:rFonts w:ascii="Century Gothic" w:hAnsi="Century Gothic" w:cs="Calibri"/>
                <w:sz w:val="28"/>
                <w:szCs w:val="28"/>
              </w:rPr>
            </w:pPr>
            <w:r w:rsidRPr="00EA030F">
              <w:rPr>
                <w:rFonts w:ascii="Century Gothic" w:hAnsi="Century Gothic" w:cs="Calibri"/>
                <w:sz w:val="28"/>
                <w:szCs w:val="28"/>
              </w:rPr>
              <w:t xml:space="preserve">Students will </w:t>
            </w:r>
            <w:r w:rsidR="00196ECC" w:rsidRPr="00EA030F">
              <w:rPr>
                <w:rFonts w:ascii="Century Gothic" w:hAnsi="Century Gothic" w:cs="Calibri"/>
                <w:sz w:val="28"/>
                <w:szCs w:val="28"/>
              </w:rPr>
              <w:t>graph, solve and evaluate functions (linear, exponential</w:t>
            </w:r>
            <w:r w:rsidR="00BD0B59" w:rsidRPr="00EA030F">
              <w:rPr>
                <w:rFonts w:ascii="Century Gothic" w:hAnsi="Century Gothic" w:cs="Calibri"/>
                <w:sz w:val="28"/>
                <w:szCs w:val="28"/>
              </w:rPr>
              <w:t>,</w:t>
            </w:r>
            <w:r w:rsidR="00196ECC" w:rsidRPr="00EA030F">
              <w:rPr>
                <w:rFonts w:ascii="Century Gothic" w:hAnsi="Century Gothic" w:cs="Calibri"/>
                <w:sz w:val="28"/>
                <w:szCs w:val="28"/>
              </w:rPr>
              <w:t xml:space="preserve"> paramet</w:t>
            </w:r>
            <w:r w:rsidR="00BD0B59" w:rsidRPr="00EA030F">
              <w:rPr>
                <w:rFonts w:ascii="Century Gothic" w:hAnsi="Century Gothic" w:cs="Calibri"/>
                <w:sz w:val="28"/>
                <w:szCs w:val="28"/>
              </w:rPr>
              <w:t>r</w:t>
            </w:r>
            <w:r w:rsidR="00196ECC" w:rsidRPr="00EA030F">
              <w:rPr>
                <w:rFonts w:ascii="Century Gothic" w:hAnsi="Century Gothic" w:cs="Calibri"/>
                <w:sz w:val="28"/>
                <w:szCs w:val="28"/>
              </w:rPr>
              <w:t>ic</w:t>
            </w:r>
            <w:r w:rsidR="00BD0B59" w:rsidRPr="00EA030F">
              <w:rPr>
                <w:rFonts w:ascii="Century Gothic" w:hAnsi="Century Gothic" w:cs="Calibri"/>
                <w:sz w:val="28"/>
                <w:szCs w:val="28"/>
              </w:rPr>
              <w:t>, and trigonometric).</w:t>
            </w:r>
          </w:p>
          <w:p w14:paraId="7653A8AF" w14:textId="77777777" w:rsidR="00BD0B59" w:rsidRPr="00EA030F" w:rsidRDefault="00BD0B59" w:rsidP="00CE287A">
            <w:pPr>
              <w:rPr>
                <w:rFonts w:ascii="Century Gothic" w:hAnsi="Century Gothic"/>
                <w:sz w:val="28"/>
                <w:szCs w:val="28"/>
              </w:rPr>
            </w:pPr>
          </w:p>
          <w:p w14:paraId="68EE3CC4" w14:textId="209363BA" w:rsidR="00E5578F" w:rsidRDefault="00822B3F" w:rsidP="000B3437">
            <w:pPr>
              <w:rPr>
                <w:rFonts w:ascii="Century Gothic" w:hAnsi="Century Gothic"/>
                <w:b/>
                <w:bCs/>
                <w:sz w:val="28"/>
                <w:szCs w:val="28"/>
              </w:rPr>
            </w:pPr>
            <w:r>
              <w:rPr>
                <w:rFonts w:ascii="Century Gothic" w:hAnsi="Century Gothic"/>
                <w:b/>
                <w:bCs/>
                <w:sz w:val="28"/>
                <w:szCs w:val="28"/>
              </w:rPr>
              <w:lastRenderedPageBreak/>
              <w:t>Unit 1</w:t>
            </w:r>
            <w:r w:rsidR="000B3437">
              <w:rPr>
                <w:rFonts w:ascii="Century Gothic" w:hAnsi="Century Gothic"/>
                <w:b/>
                <w:bCs/>
                <w:sz w:val="28"/>
                <w:szCs w:val="28"/>
              </w:rPr>
              <w:t xml:space="preserve">: </w:t>
            </w:r>
            <w:r w:rsidR="000B3437" w:rsidRPr="000B3437">
              <w:rPr>
                <w:rFonts w:ascii="Century Gothic" w:hAnsi="Century Gothic"/>
                <w:b/>
                <w:bCs/>
                <w:sz w:val="28"/>
                <w:szCs w:val="28"/>
              </w:rPr>
              <w:t>Limits and Continuity</w:t>
            </w:r>
          </w:p>
          <w:p w14:paraId="51658C38" w14:textId="3FC11C48" w:rsidR="00DA5907" w:rsidRDefault="00DA5907" w:rsidP="000B3437">
            <w:pPr>
              <w:rPr>
                <w:rFonts w:ascii="Century Gothic" w:hAnsi="Century Gothic"/>
                <w:b/>
                <w:bCs/>
                <w:sz w:val="28"/>
                <w:szCs w:val="28"/>
              </w:rPr>
            </w:pPr>
          </w:p>
          <w:p w14:paraId="6E66CB1F" w14:textId="18E9084E" w:rsidR="00DA5907" w:rsidRPr="00777707" w:rsidRDefault="00777707" w:rsidP="000B3437">
            <w:pPr>
              <w:rPr>
                <w:rFonts w:ascii="Century Gothic" w:hAnsi="Century Gothic"/>
                <w:sz w:val="28"/>
                <w:szCs w:val="28"/>
              </w:rPr>
            </w:pPr>
            <w:r>
              <w:rPr>
                <w:rFonts w:ascii="Century Gothic" w:hAnsi="Century Gothic"/>
                <w:sz w:val="28"/>
                <w:szCs w:val="28"/>
              </w:rPr>
              <w:t>Students will be</w:t>
            </w:r>
            <w:r w:rsidRPr="00777707">
              <w:rPr>
                <w:rFonts w:ascii="Century Gothic" w:hAnsi="Century Gothic"/>
                <w:sz w:val="28"/>
                <w:szCs w:val="28"/>
              </w:rPr>
              <w:t xml:space="preserve"> introduce</w:t>
            </w:r>
            <w:r w:rsidR="004D6CD5">
              <w:rPr>
                <w:rFonts w:ascii="Century Gothic" w:hAnsi="Century Gothic"/>
                <w:sz w:val="28"/>
                <w:szCs w:val="28"/>
              </w:rPr>
              <w:t>d</w:t>
            </w:r>
            <w:r w:rsidRPr="00777707">
              <w:rPr>
                <w:rFonts w:ascii="Century Gothic" w:hAnsi="Century Gothic"/>
                <w:sz w:val="28"/>
                <w:szCs w:val="28"/>
              </w:rPr>
              <w:t xml:space="preserve"> </w:t>
            </w:r>
            <w:r w:rsidR="004D6CD5">
              <w:rPr>
                <w:rFonts w:ascii="Century Gothic" w:hAnsi="Century Gothic"/>
                <w:sz w:val="28"/>
                <w:szCs w:val="28"/>
              </w:rPr>
              <w:t xml:space="preserve">to limits and </w:t>
            </w:r>
            <w:r w:rsidRPr="00777707">
              <w:rPr>
                <w:rFonts w:ascii="Century Gothic" w:hAnsi="Century Gothic"/>
                <w:sz w:val="28"/>
                <w:szCs w:val="28"/>
              </w:rPr>
              <w:t xml:space="preserve">the subtle distinction between evaluating a function at a point and considering what value the function is approaching, if any, as x approaches a point. This distinction </w:t>
            </w:r>
            <w:r w:rsidR="00A079F3">
              <w:rPr>
                <w:rFonts w:ascii="Century Gothic" w:hAnsi="Century Gothic"/>
                <w:sz w:val="28"/>
                <w:szCs w:val="28"/>
              </w:rPr>
              <w:t>will allow students</w:t>
            </w:r>
            <w:r w:rsidRPr="00777707">
              <w:rPr>
                <w:rFonts w:ascii="Century Gothic" w:hAnsi="Century Gothic"/>
                <w:sz w:val="28"/>
                <w:szCs w:val="28"/>
              </w:rPr>
              <w:t xml:space="preserve"> to extend understanding of asymptotes and holes in graphs with formal definitions of continuity.</w:t>
            </w:r>
          </w:p>
          <w:p w14:paraId="512B489D" w14:textId="77777777" w:rsidR="00627DF1" w:rsidRPr="00EA030F" w:rsidRDefault="00627DF1" w:rsidP="00CE287A">
            <w:pPr>
              <w:rPr>
                <w:rFonts w:ascii="Century Gothic" w:hAnsi="Century Gothic"/>
                <w:sz w:val="28"/>
                <w:szCs w:val="28"/>
              </w:rPr>
            </w:pPr>
          </w:p>
          <w:p w14:paraId="7CA3AE7A" w14:textId="0BED6EC7" w:rsidR="00627DF1" w:rsidRPr="00EA030F" w:rsidRDefault="00515D4D" w:rsidP="00CE287A">
            <w:pPr>
              <w:rPr>
                <w:rFonts w:ascii="Century Gothic" w:hAnsi="Century Gothic"/>
                <w:b/>
                <w:bCs/>
                <w:sz w:val="28"/>
                <w:szCs w:val="28"/>
              </w:rPr>
            </w:pPr>
            <w:r>
              <w:rPr>
                <w:rFonts w:ascii="Century Gothic" w:hAnsi="Century Gothic"/>
                <w:b/>
                <w:bCs/>
                <w:sz w:val="28"/>
                <w:szCs w:val="28"/>
              </w:rPr>
              <w:t xml:space="preserve">Unit 2: </w:t>
            </w:r>
            <w:r w:rsidRPr="00515D4D">
              <w:rPr>
                <w:rFonts w:ascii="Century Gothic" w:hAnsi="Century Gothic"/>
                <w:b/>
                <w:bCs/>
                <w:sz w:val="28"/>
                <w:szCs w:val="28"/>
              </w:rPr>
              <w:t>Differentiation: Definition and Fundamental Properties</w:t>
            </w:r>
          </w:p>
          <w:p w14:paraId="39AC0E2F" w14:textId="0E3C2C87" w:rsidR="00F266C0" w:rsidRDefault="00627DF1" w:rsidP="00CE287A">
            <w:pPr>
              <w:rPr>
                <w:rFonts w:ascii="Century Gothic" w:hAnsi="Century Gothic"/>
                <w:sz w:val="28"/>
                <w:szCs w:val="28"/>
              </w:rPr>
            </w:pPr>
            <w:r w:rsidRPr="00EA030F">
              <w:rPr>
                <w:rFonts w:ascii="Century Gothic" w:hAnsi="Century Gothic"/>
                <w:sz w:val="28"/>
                <w:szCs w:val="28"/>
              </w:rPr>
              <w:t xml:space="preserve">Students will </w:t>
            </w:r>
            <w:r w:rsidR="009A2B7D">
              <w:rPr>
                <w:rFonts w:ascii="Century Gothic" w:hAnsi="Century Gothic"/>
                <w:sz w:val="28"/>
                <w:szCs w:val="28"/>
              </w:rPr>
              <w:t xml:space="preserve">learn how derivatives determine instantaneous rates of change. They will </w:t>
            </w:r>
            <w:r w:rsidR="00952263">
              <w:rPr>
                <w:rFonts w:ascii="Century Gothic" w:hAnsi="Century Gothic"/>
                <w:sz w:val="28"/>
                <w:szCs w:val="28"/>
              </w:rPr>
              <w:t>develop an understanding of how the definition o</w:t>
            </w:r>
            <w:r w:rsidR="00DF1F97">
              <w:rPr>
                <w:rFonts w:ascii="Century Gothic" w:hAnsi="Century Gothic"/>
                <w:sz w:val="28"/>
                <w:szCs w:val="28"/>
              </w:rPr>
              <w:t xml:space="preserve">f the derivative applies limits </w:t>
            </w:r>
            <w:proofErr w:type="spellStart"/>
            <w:r w:rsidR="00DF1F97">
              <w:rPr>
                <w:rFonts w:ascii="Century Gothic" w:hAnsi="Century Gothic"/>
                <w:sz w:val="28"/>
                <w:szCs w:val="28"/>
              </w:rPr>
              <w:t>o</w:t>
            </w:r>
            <w:proofErr w:type="spellEnd"/>
            <w:r w:rsidR="00DF1F97">
              <w:rPr>
                <w:rFonts w:ascii="Century Gothic" w:hAnsi="Century Gothic"/>
                <w:sz w:val="28"/>
                <w:szCs w:val="28"/>
              </w:rPr>
              <w:t xml:space="preserve"> average rates of changes. Students will </w:t>
            </w:r>
            <w:r w:rsidR="00E91BFB">
              <w:rPr>
                <w:rFonts w:ascii="Century Gothic" w:hAnsi="Century Gothic"/>
                <w:sz w:val="28"/>
                <w:szCs w:val="28"/>
              </w:rPr>
              <w:t>explore how various operations affect slopes of tangent lines</w:t>
            </w:r>
            <w:r w:rsidR="00F17C91">
              <w:rPr>
                <w:rFonts w:ascii="Century Gothic" w:hAnsi="Century Gothic"/>
                <w:sz w:val="28"/>
                <w:szCs w:val="28"/>
              </w:rPr>
              <w:t xml:space="preserve">. </w:t>
            </w:r>
          </w:p>
          <w:p w14:paraId="23786E29" w14:textId="77777777" w:rsidR="00F266C0" w:rsidRDefault="00F266C0" w:rsidP="00CE287A">
            <w:pPr>
              <w:rPr>
                <w:rFonts w:ascii="Century Gothic" w:hAnsi="Century Gothic"/>
                <w:sz w:val="28"/>
                <w:szCs w:val="28"/>
              </w:rPr>
            </w:pPr>
          </w:p>
          <w:p w14:paraId="12A53A3B" w14:textId="7F80D5A0" w:rsidR="00F266C0" w:rsidRDefault="00580202" w:rsidP="00CE287A">
            <w:pPr>
              <w:rPr>
                <w:rFonts w:ascii="Century Gothic" w:hAnsi="Century Gothic"/>
                <w:b/>
                <w:bCs/>
                <w:sz w:val="28"/>
                <w:szCs w:val="28"/>
              </w:rPr>
            </w:pPr>
            <w:r w:rsidRPr="00612F51">
              <w:rPr>
                <w:rFonts w:ascii="Century Gothic" w:hAnsi="Century Gothic"/>
                <w:b/>
                <w:bCs/>
                <w:sz w:val="28"/>
                <w:szCs w:val="28"/>
              </w:rPr>
              <w:t xml:space="preserve">Unit 3: </w:t>
            </w:r>
            <w:r w:rsidR="00612F51" w:rsidRPr="00612F51">
              <w:rPr>
                <w:rFonts w:ascii="Century Gothic" w:hAnsi="Century Gothic"/>
                <w:b/>
                <w:bCs/>
                <w:sz w:val="28"/>
                <w:szCs w:val="28"/>
              </w:rPr>
              <w:t>Differentiation: Composite, Implicit, and Inverse Functions</w:t>
            </w:r>
          </w:p>
          <w:p w14:paraId="0C906525" w14:textId="21A3E990" w:rsidR="00612F51" w:rsidRPr="00612F51" w:rsidRDefault="008B6C3D" w:rsidP="00CE287A">
            <w:pPr>
              <w:rPr>
                <w:rFonts w:ascii="Century Gothic" w:hAnsi="Century Gothic"/>
                <w:sz w:val="28"/>
                <w:szCs w:val="28"/>
              </w:rPr>
            </w:pPr>
            <w:r>
              <w:rPr>
                <w:rFonts w:ascii="Century Gothic" w:hAnsi="Century Gothic"/>
                <w:sz w:val="28"/>
                <w:szCs w:val="28"/>
              </w:rPr>
              <w:t xml:space="preserve">Students will learn how to </w:t>
            </w:r>
            <w:r w:rsidRPr="008B6C3D">
              <w:rPr>
                <w:rFonts w:ascii="Century Gothic" w:hAnsi="Century Gothic"/>
                <w:sz w:val="28"/>
                <w:szCs w:val="28"/>
              </w:rPr>
              <w:t xml:space="preserve">differentiate composite functions using the chain rule and apply that understanding to determine derivatives of implicit and inverse functions. Students need to understand that for composite functions, y is a function of u while u is a </w:t>
            </w:r>
            <w:r w:rsidR="00215C74" w:rsidRPr="008B6C3D">
              <w:rPr>
                <w:rFonts w:ascii="Century Gothic" w:hAnsi="Century Gothic"/>
                <w:sz w:val="28"/>
                <w:szCs w:val="28"/>
              </w:rPr>
              <w:t>function of</w:t>
            </w:r>
            <w:r w:rsidR="00215C74">
              <w:rPr>
                <w:rFonts w:ascii="Century Gothic" w:hAnsi="Century Gothic"/>
                <w:sz w:val="28"/>
                <w:szCs w:val="28"/>
              </w:rPr>
              <w:t xml:space="preserve"> x. </w:t>
            </w:r>
          </w:p>
          <w:p w14:paraId="0C2ABD43" w14:textId="652593FB" w:rsidR="00E5578F" w:rsidRPr="00155E86" w:rsidRDefault="00E5578F" w:rsidP="00CE287A">
            <w:pPr>
              <w:rPr>
                <w:sz w:val="28"/>
                <w:szCs w:val="28"/>
              </w:rPr>
            </w:pPr>
          </w:p>
        </w:tc>
      </w:tr>
      <w:tr w:rsidR="00B87BC7" w:rsidRPr="00B87BC7" w14:paraId="44A376CF" w14:textId="77777777" w:rsidTr="00493CD2">
        <w:tc>
          <w:tcPr>
            <w:tcW w:w="10885" w:type="dxa"/>
            <w:shd w:val="clear" w:color="auto" w:fill="D0CECE" w:themeFill="background2" w:themeFillShade="E6"/>
          </w:tcPr>
          <w:p w14:paraId="73C76CBD" w14:textId="0905D793" w:rsidR="00B87BC7" w:rsidRPr="00155E86" w:rsidRDefault="00B87BC7" w:rsidP="00493CD2">
            <w:pPr>
              <w:jc w:val="center"/>
              <w:rPr>
                <w:rFonts w:ascii="Century Gothic" w:hAnsi="Century Gothic"/>
                <w:sz w:val="28"/>
                <w:szCs w:val="28"/>
              </w:rPr>
            </w:pPr>
            <w:r w:rsidRPr="00155E86">
              <w:rPr>
                <w:rFonts w:ascii="Century Gothic" w:hAnsi="Century Gothic"/>
                <w:sz w:val="28"/>
                <w:szCs w:val="28"/>
              </w:rPr>
              <w:lastRenderedPageBreak/>
              <w:t>Quarter 2 (October 1</w:t>
            </w:r>
            <w:r w:rsidR="002B6A9B">
              <w:rPr>
                <w:rFonts w:ascii="Century Gothic" w:hAnsi="Century Gothic"/>
                <w:sz w:val="28"/>
                <w:szCs w:val="28"/>
              </w:rPr>
              <w:t>7</w:t>
            </w:r>
            <w:r w:rsidRPr="00155E86">
              <w:rPr>
                <w:rFonts w:ascii="Century Gothic" w:hAnsi="Century Gothic"/>
                <w:sz w:val="28"/>
                <w:szCs w:val="28"/>
              </w:rPr>
              <w:t xml:space="preserve"> – December 21)</w:t>
            </w:r>
          </w:p>
        </w:tc>
      </w:tr>
      <w:tr w:rsidR="00B87BC7" w:rsidRPr="00B87BC7" w14:paraId="20D013EC" w14:textId="77777777" w:rsidTr="00493CD2">
        <w:tc>
          <w:tcPr>
            <w:tcW w:w="10885" w:type="dxa"/>
          </w:tcPr>
          <w:p w14:paraId="58CE6531" w14:textId="77777777" w:rsidR="00215C74" w:rsidRDefault="00215C74" w:rsidP="00215C74">
            <w:pPr>
              <w:rPr>
                <w:rFonts w:ascii="Century Gothic" w:hAnsi="Century Gothic"/>
                <w:b/>
                <w:bCs/>
                <w:sz w:val="28"/>
                <w:szCs w:val="28"/>
              </w:rPr>
            </w:pPr>
            <w:r w:rsidRPr="00612F51">
              <w:rPr>
                <w:rFonts w:ascii="Century Gothic" w:hAnsi="Century Gothic"/>
                <w:b/>
                <w:bCs/>
                <w:sz w:val="28"/>
                <w:szCs w:val="28"/>
              </w:rPr>
              <w:t>Unit 3: Differentiation: Composite, Implicit, and Inverse Functions</w:t>
            </w:r>
          </w:p>
          <w:p w14:paraId="010CF5C0" w14:textId="32ADB7F9" w:rsidR="00215C74" w:rsidRPr="00612F51" w:rsidRDefault="00215C74" w:rsidP="00215C74">
            <w:pPr>
              <w:rPr>
                <w:rFonts w:ascii="Century Gothic" w:hAnsi="Century Gothic"/>
                <w:sz w:val="28"/>
                <w:szCs w:val="28"/>
              </w:rPr>
            </w:pPr>
            <w:r>
              <w:rPr>
                <w:rFonts w:ascii="Century Gothic" w:hAnsi="Century Gothic"/>
                <w:sz w:val="28"/>
                <w:szCs w:val="28"/>
              </w:rPr>
              <w:t xml:space="preserve">Students will learn how to </w:t>
            </w:r>
            <w:r w:rsidRPr="008B6C3D">
              <w:rPr>
                <w:rFonts w:ascii="Century Gothic" w:hAnsi="Century Gothic"/>
                <w:sz w:val="28"/>
                <w:szCs w:val="28"/>
              </w:rPr>
              <w:t>differentiate composite functions using the chain rule and apply that understanding to determine derivatives of implicit and inverse functions. Students need to understand that for composite functions, y is a function of u while u is a function of</w:t>
            </w:r>
            <w:r>
              <w:rPr>
                <w:rFonts w:ascii="Century Gothic" w:hAnsi="Century Gothic"/>
                <w:sz w:val="28"/>
                <w:szCs w:val="28"/>
              </w:rPr>
              <w:t xml:space="preserve"> x. </w:t>
            </w:r>
          </w:p>
          <w:p w14:paraId="628B8EA1" w14:textId="30284146" w:rsidR="0021404A" w:rsidRDefault="0021404A" w:rsidP="00CE287A">
            <w:pPr>
              <w:rPr>
                <w:rFonts w:ascii="Century Gothic" w:hAnsi="Century Gothic"/>
                <w:sz w:val="28"/>
                <w:szCs w:val="28"/>
              </w:rPr>
            </w:pPr>
          </w:p>
          <w:p w14:paraId="135CE31D" w14:textId="336A55D5" w:rsidR="0072456A" w:rsidRDefault="007E7B51" w:rsidP="00CE287A">
            <w:pPr>
              <w:rPr>
                <w:rFonts w:ascii="Century Gothic" w:hAnsi="Century Gothic"/>
                <w:b/>
                <w:bCs/>
                <w:sz w:val="28"/>
                <w:szCs w:val="28"/>
              </w:rPr>
            </w:pPr>
            <w:r w:rsidRPr="007E7B51">
              <w:rPr>
                <w:rFonts w:ascii="Century Gothic" w:hAnsi="Century Gothic"/>
                <w:b/>
                <w:bCs/>
                <w:sz w:val="28"/>
                <w:szCs w:val="28"/>
              </w:rPr>
              <w:t>Unit 4: Contextual Applications of Differentiation</w:t>
            </w:r>
          </w:p>
          <w:p w14:paraId="1DA58F17" w14:textId="576863EE" w:rsidR="0072456A" w:rsidRDefault="007E7B51" w:rsidP="00CE287A">
            <w:pPr>
              <w:rPr>
                <w:rFonts w:ascii="Century Gothic" w:hAnsi="Century Gothic"/>
                <w:sz w:val="28"/>
                <w:szCs w:val="28"/>
              </w:rPr>
            </w:pPr>
            <w:r>
              <w:rPr>
                <w:rFonts w:ascii="Century Gothic" w:hAnsi="Century Gothic"/>
                <w:sz w:val="28"/>
                <w:szCs w:val="28"/>
              </w:rPr>
              <w:t xml:space="preserve">Students will develop an understanding </w:t>
            </w:r>
            <w:r w:rsidR="00D4230D" w:rsidRPr="00D4230D">
              <w:rPr>
                <w:rFonts w:ascii="Century Gothic" w:hAnsi="Century Gothic"/>
                <w:sz w:val="28"/>
                <w:szCs w:val="28"/>
              </w:rPr>
              <w:t xml:space="preserve">of average and instantaneous rates of change in problems involving motion. </w:t>
            </w:r>
            <w:r w:rsidR="00D4230D">
              <w:rPr>
                <w:rFonts w:ascii="Century Gothic" w:hAnsi="Century Gothic"/>
                <w:sz w:val="28"/>
                <w:szCs w:val="28"/>
              </w:rPr>
              <w:t>Students will</w:t>
            </w:r>
            <w:r w:rsidR="00D4230D" w:rsidRPr="00D4230D">
              <w:rPr>
                <w:rFonts w:ascii="Century Gothic" w:hAnsi="Century Gothic"/>
                <w:sz w:val="28"/>
                <w:szCs w:val="28"/>
              </w:rPr>
              <w:t xml:space="preserve"> then identif</w:t>
            </w:r>
            <w:r w:rsidR="00D4230D">
              <w:rPr>
                <w:rFonts w:ascii="Century Gothic" w:hAnsi="Century Gothic"/>
                <w:sz w:val="28"/>
                <w:szCs w:val="28"/>
              </w:rPr>
              <w:t>y</w:t>
            </w:r>
            <w:r w:rsidR="00D4230D" w:rsidRPr="00D4230D">
              <w:rPr>
                <w:rFonts w:ascii="Century Gothic" w:hAnsi="Century Gothic"/>
                <w:sz w:val="28"/>
                <w:szCs w:val="28"/>
              </w:rPr>
              <w:t xml:space="preserve"> differentiation as a common underlying structure on which to build understanding of change in a variety of contexts. </w:t>
            </w:r>
          </w:p>
          <w:p w14:paraId="5ACE7DEC" w14:textId="3EC1A61E" w:rsidR="004E031D" w:rsidRDefault="004E031D" w:rsidP="00CE287A">
            <w:pPr>
              <w:rPr>
                <w:rFonts w:ascii="Century Gothic" w:hAnsi="Century Gothic"/>
                <w:sz w:val="28"/>
                <w:szCs w:val="28"/>
              </w:rPr>
            </w:pPr>
          </w:p>
          <w:p w14:paraId="260EAF82" w14:textId="0DBAEC43" w:rsidR="004E031D" w:rsidRDefault="006B798D" w:rsidP="00CE287A">
            <w:pPr>
              <w:rPr>
                <w:rFonts w:ascii="Century Gothic" w:hAnsi="Century Gothic"/>
                <w:b/>
                <w:bCs/>
                <w:sz w:val="28"/>
                <w:szCs w:val="28"/>
              </w:rPr>
            </w:pPr>
            <w:r w:rsidRPr="006B798D">
              <w:rPr>
                <w:rFonts w:ascii="Century Gothic" w:hAnsi="Century Gothic"/>
                <w:b/>
                <w:bCs/>
                <w:sz w:val="28"/>
                <w:szCs w:val="28"/>
              </w:rPr>
              <w:t>Unit 5: Analytical Applications of Differentiation</w:t>
            </w:r>
          </w:p>
          <w:p w14:paraId="44C4A757" w14:textId="6C9CF2EB" w:rsidR="00AA07BE" w:rsidRPr="006B798D" w:rsidRDefault="00AA07BE" w:rsidP="00CE287A">
            <w:pPr>
              <w:rPr>
                <w:rFonts w:ascii="Century Gothic" w:hAnsi="Century Gothic"/>
                <w:sz w:val="28"/>
                <w:szCs w:val="28"/>
              </w:rPr>
            </w:pPr>
            <w:r>
              <w:rPr>
                <w:rFonts w:ascii="Century Gothic" w:hAnsi="Century Gothic"/>
                <w:sz w:val="28"/>
                <w:szCs w:val="28"/>
              </w:rPr>
              <w:t xml:space="preserve">Students will </w:t>
            </w:r>
            <w:r w:rsidRPr="00AA07BE">
              <w:rPr>
                <w:rFonts w:ascii="Century Gothic" w:hAnsi="Century Gothic"/>
                <w:sz w:val="28"/>
                <w:szCs w:val="28"/>
              </w:rPr>
              <w:t>focus on abstract structures and formal conclusions. Reasoning with definitions and theorems establishes that answers and conclusions are more than conjectures; they have been analytically determined.</w:t>
            </w:r>
            <w:r w:rsidR="001B4989">
              <w:rPr>
                <w:rFonts w:ascii="Century Gothic" w:hAnsi="Century Gothic"/>
                <w:sz w:val="28"/>
                <w:szCs w:val="28"/>
              </w:rPr>
              <w:t xml:space="preserve"> S</w:t>
            </w:r>
            <w:r w:rsidRPr="00AA07BE">
              <w:rPr>
                <w:rFonts w:ascii="Century Gothic" w:hAnsi="Century Gothic"/>
                <w:sz w:val="28"/>
                <w:szCs w:val="28"/>
              </w:rPr>
              <w:t xml:space="preserve">tudents will learn to present justifications for their conclusions about the behavior of </w:t>
            </w:r>
            <w:r w:rsidRPr="00AA07BE">
              <w:rPr>
                <w:rFonts w:ascii="Century Gothic" w:hAnsi="Century Gothic"/>
                <w:sz w:val="28"/>
                <w:szCs w:val="28"/>
              </w:rPr>
              <w:lastRenderedPageBreak/>
              <w:t xml:space="preserve">functions over certain intervals or the locations of extreme values or points of inflection. </w:t>
            </w:r>
            <w:r w:rsidR="001B4989">
              <w:rPr>
                <w:rFonts w:ascii="Century Gothic" w:hAnsi="Century Gothic"/>
                <w:sz w:val="28"/>
                <w:szCs w:val="28"/>
              </w:rPr>
              <w:t xml:space="preserve">Students will </w:t>
            </w:r>
            <w:r w:rsidRPr="00AA07BE">
              <w:rPr>
                <w:rFonts w:ascii="Century Gothic" w:hAnsi="Century Gothic"/>
                <w:sz w:val="28"/>
                <w:szCs w:val="28"/>
              </w:rPr>
              <w:t>apply abstract reasoning skills to justify solutions for realistic optimization problems.</w:t>
            </w:r>
          </w:p>
          <w:p w14:paraId="0ABED689" w14:textId="77777777" w:rsidR="0072456A" w:rsidRPr="00EA030F" w:rsidRDefault="0072456A" w:rsidP="00CE287A">
            <w:pPr>
              <w:rPr>
                <w:rFonts w:ascii="Century Gothic" w:hAnsi="Century Gothic"/>
                <w:sz w:val="28"/>
                <w:szCs w:val="28"/>
              </w:rPr>
            </w:pPr>
          </w:p>
          <w:p w14:paraId="53BD50C2" w14:textId="4D7DD80E" w:rsidR="00360FE7" w:rsidRPr="00155E86" w:rsidRDefault="00360FE7" w:rsidP="00EE4FCD">
            <w:pPr>
              <w:rPr>
                <w:sz w:val="28"/>
                <w:szCs w:val="28"/>
              </w:rPr>
            </w:pPr>
          </w:p>
        </w:tc>
      </w:tr>
      <w:tr w:rsidR="00B87BC7" w:rsidRPr="00B87BC7" w14:paraId="2C7CC108" w14:textId="77777777" w:rsidTr="00493CD2">
        <w:tc>
          <w:tcPr>
            <w:tcW w:w="10885" w:type="dxa"/>
            <w:shd w:val="clear" w:color="auto" w:fill="D0CECE" w:themeFill="background2" w:themeFillShade="E6"/>
          </w:tcPr>
          <w:p w14:paraId="6998F85C" w14:textId="6D29ACF5" w:rsidR="00B87BC7" w:rsidRPr="00155E86" w:rsidRDefault="00B87BC7" w:rsidP="00493CD2">
            <w:pPr>
              <w:jc w:val="center"/>
              <w:rPr>
                <w:sz w:val="28"/>
                <w:szCs w:val="28"/>
              </w:rPr>
            </w:pPr>
            <w:r w:rsidRPr="00155E86">
              <w:rPr>
                <w:rFonts w:ascii="Century Gothic" w:hAnsi="Century Gothic"/>
                <w:sz w:val="28"/>
                <w:szCs w:val="28"/>
              </w:rPr>
              <w:lastRenderedPageBreak/>
              <w:t xml:space="preserve">Quarter 3 (January </w:t>
            </w:r>
            <w:r w:rsidR="002B6A9B">
              <w:rPr>
                <w:rFonts w:ascii="Century Gothic" w:hAnsi="Century Gothic"/>
                <w:sz w:val="28"/>
                <w:szCs w:val="28"/>
              </w:rPr>
              <w:t>8</w:t>
            </w:r>
            <w:r w:rsidRPr="00155E86">
              <w:rPr>
                <w:rFonts w:ascii="Century Gothic" w:hAnsi="Century Gothic"/>
                <w:sz w:val="28"/>
                <w:szCs w:val="28"/>
              </w:rPr>
              <w:t xml:space="preserve"> – March </w:t>
            </w:r>
            <w:r w:rsidR="002B6A9B">
              <w:rPr>
                <w:rFonts w:ascii="Century Gothic" w:hAnsi="Century Gothic"/>
                <w:sz w:val="28"/>
                <w:szCs w:val="28"/>
              </w:rPr>
              <w:t>8</w:t>
            </w:r>
            <w:r w:rsidRPr="00155E86">
              <w:rPr>
                <w:rFonts w:ascii="Century Gothic" w:hAnsi="Century Gothic"/>
                <w:sz w:val="28"/>
                <w:szCs w:val="28"/>
              </w:rPr>
              <w:t>)</w:t>
            </w:r>
          </w:p>
        </w:tc>
      </w:tr>
      <w:tr w:rsidR="00B87BC7" w:rsidRPr="00B87BC7" w14:paraId="2AA55083" w14:textId="77777777" w:rsidTr="00493CD2">
        <w:tc>
          <w:tcPr>
            <w:tcW w:w="10885" w:type="dxa"/>
          </w:tcPr>
          <w:p w14:paraId="0F124A49" w14:textId="75F197EA" w:rsidR="00EE4FCD" w:rsidRDefault="00EE4FCD" w:rsidP="00CE287A">
            <w:pPr>
              <w:rPr>
                <w:rFonts w:ascii="Century Gothic" w:hAnsi="Century Gothic"/>
                <w:b/>
                <w:bCs/>
                <w:sz w:val="28"/>
                <w:szCs w:val="28"/>
              </w:rPr>
            </w:pPr>
            <w:r>
              <w:rPr>
                <w:rFonts w:ascii="Century Gothic" w:hAnsi="Century Gothic"/>
                <w:b/>
                <w:bCs/>
                <w:sz w:val="28"/>
                <w:szCs w:val="28"/>
              </w:rPr>
              <w:t xml:space="preserve">Unit 6: </w:t>
            </w:r>
            <w:r w:rsidR="007E6F6A" w:rsidRPr="007E6F6A">
              <w:rPr>
                <w:rFonts w:ascii="Century Gothic" w:hAnsi="Century Gothic"/>
                <w:b/>
                <w:bCs/>
                <w:sz w:val="28"/>
                <w:szCs w:val="28"/>
              </w:rPr>
              <w:t>Integration and Accumulation of Change</w:t>
            </w:r>
          </w:p>
          <w:p w14:paraId="0499CF8A" w14:textId="7C178D48" w:rsidR="00EE4FCD" w:rsidRDefault="00455B91" w:rsidP="00CE287A">
            <w:pPr>
              <w:rPr>
                <w:rFonts w:ascii="Century Gothic" w:hAnsi="Century Gothic"/>
                <w:sz w:val="28"/>
                <w:szCs w:val="28"/>
              </w:rPr>
            </w:pPr>
            <w:r w:rsidRPr="00455B91">
              <w:rPr>
                <w:rFonts w:ascii="Century Gothic" w:hAnsi="Century Gothic"/>
                <w:sz w:val="28"/>
                <w:szCs w:val="28"/>
              </w:rPr>
              <w:t xml:space="preserve">Students will establish the relationship between differentiation and integration using the Fundamental Theorem of Calculus. Students exploring the contextual meaning of areas of certain regions bounded by rate functions. Integration determines accumulation of change over an interval, just as differentiation determines instantaneous rate of change at a point. Students should understand that integration is a limiting case of a sum of products (areas) in the same way that differentiation is a limiting case of a quotient of differences (slopes). </w:t>
            </w:r>
          </w:p>
          <w:p w14:paraId="2E940010" w14:textId="7ED337DB" w:rsidR="00455B91" w:rsidRDefault="00455B91" w:rsidP="00CE287A">
            <w:pPr>
              <w:rPr>
                <w:rFonts w:ascii="Century Gothic" w:hAnsi="Century Gothic"/>
                <w:sz w:val="28"/>
                <w:szCs w:val="28"/>
              </w:rPr>
            </w:pPr>
          </w:p>
          <w:p w14:paraId="0812C8CB" w14:textId="585BFCBE" w:rsidR="00455B91" w:rsidRPr="0001650D" w:rsidRDefault="0001650D" w:rsidP="00CE287A">
            <w:pPr>
              <w:rPr>
                <w:rFonts w:ascii="Century Gothic" w:hAnsi="Century Gothic"/>
                <w:b/>
                <w:bCs/>
                <w:sz w:val="28"/>
                <w:szCs w:val="28"/>
              </w:rPr>
            </w:pPr>
            <w:r w:rsidRPr="0001650D">
              <w:rPr>
                <w:rFonts w:ascii="Century Gothic" w:hAnsi="Century Gothic"/>
                <w:b/>
                <w:bCs/>
                <w:sz w:val="28"/>
                <w:szCs w:val="28"/>
              </w:rPr>
              <w:t>Unit 7: Differential Equations</w:t>
            </w:r>
          </w:p>
          <w:p w14:paraId="4CB71728" w14:textId="7FE3B239" w:rsidR="00F654B2" w:rsidRPr="0001650D" w:rsidRDefault="00F654B2" w:rsidP="00F654B2">
            <w:pPr>
              <w:rPr>
                <w:rFonts w:ascii="Century Gothic" w:hAnsi="Century Gothic"/>
                <w:sz w:val="28"/>
                <w:szCs w:val="28"/>
              </w:rPr>
            </w:pPr>
            <w:r>
              <w:rPr>
                <w:rFonts w:ascii="Century Gothic" w:hAnsi="Century Gothic"/>
                <w:sz w:val="28"/>
                <w:szCs w:val="28"/>
              </w:rPr>
              <w:t>S</w:t>
            </w:r>
            <w:r w:rsidRPr="00F654B2">
              <w:rPr>
                <w:rFonts w:ascii="Century Gothic" w:hAnsi="Century Gothic"/>
                <w:sz w:val="28"/>
                <w:szCs w:val="28"/>
              </w:rPr>
              <w:t xml:space="preserve">tudents will learn to set up and solve separable differential equations. Slope fields can be used to represent solution curves to a differential equation and build understanding that there are infinitely many general solutions to a differential equation, varying only by a constant of integration. Students can locate a unique solution relevant to a particular situation, provided they can locate a point on the solution curve. </w:t>
            </w:r>
          </w:p>
          <w:p w14:paraId="6F9B0F42" w14:textId="4A6F6A7F" w:rsidR="00232CA8" w:rsidRPr="00D20B66" w:rsidRDefault="00232CA8" w:rsidP="00CE287A">
            <w:pPr>
              <w:rPr>
                <w:rFonts w:ascii="Century Gothic" w:hAnsi="Century Gothic"/>
                <w:sz w:val="28"/>
                <w:szCs w:val="28"/>
              </w:rPr>
            </w:pPr>
          </w:p>
        </w:tc>
      </w:tr>
      <w:tr w:rsidR="00B87BC7" w:rsidRPr="00B87BC7" w14:paraId="7DDFE576" w14:textId="77777777" w:rsidTr="00493CD2">
        <w:tc>
          <w:tcPr>
            <w:tcW w:w="10885" w:type="dxa"/>
            <w:shd w:val="clear" w:color="auto" w:fill="D0CECE" w:themeFill="background2" w:themeFillShade="E6"/>
          </w:tcPr>
          <w:p w14:paraId="230E7D0B" w14:textId="75E7A676" w:rsidR="00B87BC7" w:rsidRPr="00D20B66" w:rsidRDefault="00B87BC7" w:rsidP="00493CD2">
            <w:pPr>
              <w:jc w:val="center"/>
              <w:rPr>
                <w:rFonts w:ascii="Century Gothic" w:hAnsi="Century Gothic"/>
                <w:b/>
                <w:bCs/>
                <w:sz w:val="28"/>
                <w:szCs w:val="28"/>
              </w:rPr>
            </w:pPr>
            <w:r w:rsidRPr="00D20B66">
              <w:rPr>
                <w:rFonts w:ascii="Century Gothic" w:hAnsi="Century Gothic"/>
                <w:sz w:val="28"/>
                <w:szCs w:val="28"/>
              </w:rPr>
              <w:t xml:space="preserve">Quarter 4 (March </w:t>
            </w:r>
            <w:r w:rsidR="002B6A9B">
              <w:rPr>
                <w:rFonts w:ascii="Century Gothic" w:hAnsi="Century Gothic"/>
                <w:sz w:val="28"/>
                <w:szCs w:val="28"/>
              </w:rPr>
              <w:t>19</w:t>
            </w:r>
            <w:r w:rsidRPr="00D20B66">
              <w:rPr>
                <w:rFonts w:ascii="Century Gothic" w:hAnsi="Century Gothic"/>
                <w:sz w:val="28"/>
                <w:szCs w:val="28"/>
              </w:rPr>
              <w:t xml:space="preserve"> – May 2</w:t>
            </w:r>
            <w:r w:rsidR="002B6A9B">
              <w:rPr>
                <w:rFonts w:ascii="Century Gothic" w:hAnsi="Century Gothic"/>
                <w:sz w:val="28"/>
                <w:szCs w:val="28"/>
              </w:rPr>
              <w:t>4</w:t>
            </w:r>
            <w:r w:rsidRPr="00D20B66">
              <w:rPr>
                <w:rFonts w:ascii="Century Gothic" w:hAnsi="Century Gothic"/>
                <w:sz w:val="28"/>
                <w:szCs w:val="28"/>
              </w:rPr>
              <w:t>)</w:t>
            </w:r>
          </w:p>
        </w:tc>
      </w:tr>
      <w:tr w:rsidR="00B87BC7" w:rsidRPr="00B87BC7" w14:paraId="048B115C" w14:textId="77777777" w:rsidTr="00493CD2">
        <w:tc>
          <w:tcPr>
            <w:tcW w:w="10885" w:type="dxa"/>
            <w:shd w:val="clear" w:color="auto" w:fill="auto"/>
          </w:tcPr>
          <w:p w14:paraId="236A01F2" w14:textId="6D3399B6" w:rsidR="00444256" w:rsidRDefault="00D23FF8" w:rsidP="00D20B66">
            <w:pPr>
              <w:rPr>
                <w:rFonts w:ascii="Century Gothic" w:hAnsi="Century Gothic"/>
                <w:b/>
                <w:bCs/>
                <w:sz w:val="28"/>
                <w:szCs w:val="28"/>
              </w:rPr>
            </w:pPr>
            <w:r>
              <w:rPr>
                <w:rFonts w:ascii="Century Gothic" w:hAnsi="Century Gothic"/>
                <w:b/>
                <w:bCs/>
                <w:sz w:val="28"/>
                <w:szCs w:val="28"/>
              </w:rPr>
              <w:t xml:space="preserve">Unit 8: </w:t>
            </w:r>
            <w:r w:rsidRPr="00D23FF8">
              <w:rPr>
                <w:rFonts w:ascii="Century Gothic" w:hAnsi="Century Gothic"/>
                <w:b/>
                <w:bCs/>
                <w:sz w:val="28"/>
                <w:szCs w:val="28"/>
              </w:rPr>
              <w:t>Applications of Integration</w:t>
            </w:r>
          </w:p>
          <w:p w14:paraId="6F9CCF54" w14:textId="569ED617" w:rsidR="00D23FF8" w:rsidRDefault="00D23FF8" w:rsidP="00D20B66">
            <w:pPr>
              <w:rPr>
                <w:rFonts w:ascii="Century Gothic" w:hAnsi="Century Gothic" w:cs="Calibri"/>
                <w:sz w:val="28"/>
                <w:szCs w:val="28"/>
              </w:rPr>
            </w:pPr>
          </w:p>
          <w:p w14:paraId="268815BC" w14:textId="3C23A67F" w:rsidR="00767AA5" w:rsidRDefault="00767AA5" w:rsidP="00D20B66">
            <w:pPr>
              <w:rPr>
                <w:rFonts w:ascii="Century Gothic" w:hAnsi="Century Gothic" w:cs="Calibri"/>
                <w:sz w:val="28"/>
                <w:szCs w:val="28"/>
              </w:rPr>
            </w:pPr>
            <w:r>
              <w:rPr>
                <w:rFonts w:ascii="Century Gothic" w:hAnsi="Century Gothic" w:cs="Calibri"/>
                <w:sz w:val="28"/>
                <w:szCs w:val="28"/>
              </w:rPr>
              <w:t>S</w:t>
            </w:r>
            <w:r w:rsidRPr="00767AA5">
              <w:rPr>
                <w:rFonts w:ascii="Century Gothic" w:hAnsi="Century Gothic" w:cs="Calibri"/>
                <w:sz w:val="28"/>
                <w:szCs w:val="28"/>
              </w:rPr>
              <w:t xml:space="preserve">tudents will learn how to find the average value of a function, model particle motion and net change, and determine areas, </w:t>
            </w:r>
            <w:r w:rsidR="00A92476">
              <w:rPr>
                <w:rFonts w:ascii="Century Gothic" w:hAnsi="Century Gothic" w:cs="Calibri"/>
                <w:sz w:val="28"/>
                <w:szCs w:val="28"/>
              </w:rPr>
              <w:t xml:space="preserve">and </w:t>
            </w:r>
            <w:r w:rsidRPr="00767AA5">
              <w:rPr>
                <w:rFonts w:ascii="Century Gothic" w:hAnsi="Century Gothic" w:cs="Calibri"/>
                <w:sz w:val="28"/>
                <w:szCs w:val="28"/>
              </w:rPr>
              <w:t xml:space="preserve">volumes defined by the graphs of functions. </w:t>
            </w:r>
          </w:p>
          <w:p w14:paraId="71D52B4B" w14:textId="77777777" w:rsidR="00767AA5" w:rsidRPr="00D23FF8" w:rsidRDefault="00767AA5" w:rsidP="00D20B66">
            <w:pPr>
              <w:rPr>
                <w:rFonts w:ascii="Century Gothic" w:hAnsi="Century Gothic" w:cs="Calibri"/>
                <w:sz w:val="28"/>
                <w:szCs w:val="28"/>
              </w:rPr>
            </w:pPr>
          </w:p>
          <w:p w14:paraId="3113C913" w14:textId="714740DA" w:rsidR="00B46734" w:rsidRPr="00444256" w:rsidRDefault="00B46734" w:rsidP="00D20B66">
            <w:pPr>
              <w:rPr>
                <w:rFonts w:ascii="Century Gothic" w:hAnsi="Century Gothic" w:cs="Calibri"/>
                <w:b/>
                <w:bCs/>
                <w:sz w:val="28"/>
                <w:szCs w:val="28"/>
              </w:rPr>
            </w:pPr>
            <w:r w:rsidRPr="00444256">
              <w:rPr>
                <w:rFonts w:ascii="Century Gothic" w:hAnsi="Century Gothic" w:cs="Calibri"/>
                <w:b/>
                <w:bCs/>
                <w:sz w:val="28"/>
                <w:szCs w:val="28"/>
              </w:rPr>
              <w:t>Exam Review</w:t>
            </w:r>
          </w:p>
          <w:p w14:paraId="558FF151" w14:textId="4A873A15" w:rsidR="00B46734" w:rsidRPr="00444256" w:rsidRDefault="00B46734" w:rsidP="00D20B66">
            <w:pPr>
              <w:rPr>
                <w:rFonts w:ascii="Century Gothic" w:hAnsi="Century Gothic"/>
                <w:sz w:val="28"/>
                <w:szCs w:val="28"/>
              </w:rPr>
            </w:pPr>
            <w:r w:rsidRPr="00444256">
              <w:rPr>
                <w:rFonts w:ascii="Century Gothic" w:hAnsi="Century Gothic" w:cs="Calibri"/>
                <w:sz w:val="28"/>
                <w:szCs w:val="28"/>
              </w:rPr>
              <w:t>Students will review all material covered in this AP course in preparation for the upcoming AP Exam</w:t>
            </w:r>
          </w:p>
          <w:p w14:paraId="1E8A8877" w14:textId="7CE9D94F" w:rsidR="00D20B66" w:rsidRPr="00444256" w:rsidRDefault="00D20B66" w:rsidP="00D20B66">
            <w:pPr>
              <w:tabs>
                <w:tab w:val="left" w:pos="2143"/>
              </w:tabs>
              <w:rPr>
                <w:rFonts w:ascii="Century Gothic" w:hAnsi="Century Gothic"/>
                <w:sz w:val="28"/>
                <w:szCs w:val="28"/>
              </w:rPr>
            </w:pPr>
            <w:r w:rsidRPr="00444256">
              <w:rPr>
                <w:rFonts w:ascii="Century Gothic" w:hAnsi="Century Gothic"/>
                <w:sz w:val="28"/>
                <w:szCs w:val="28"/>
              </w:rPr>
              <w:tab/>
            </w:r>
          </w:p>
          <w:p w14:paraId="2A0E6024" w14:textId="2EE134C8" w:rsidR="00D20B66" w:rsidRPr="00D20B66" w:rsidRDefault="004328BA" w:rsidP="00D20B66">
            <w:pPr>
              <w:tabs>
                <w:tab w:val="left" w:pos="2143"/>
              </w:tabs>
              <w:rPr>
                <w:rFonts w:ascii="Century Gothic" w:hAnsi="Century Gothic"/>
                <w:sz w:val="28"/>
                <w:szCs w:val="28"/>
              </w:rPr>
            </w:pPr>
            <w:r w:rsidRPr="00444256">
              <w:rPr>
                <w:rFonts w:ascii="Century Gothic" w:hAnsi="Century Gothic"/>
                <w:b/>
                <w:bCs/>
                <w:sz w:val="28"/>
                <w:szCs w:val="28"/>
              </w:rPr>
              <w:t xml:space="preserve">AP </w:t>
            </w:r>
            <w:r w:rsidR="00CE287A" w:rsidRPr="00444256">
              <w:rPr>
                <w:rFonts w:ascii="Century Gothic" w:hAnsi="Century Gothic"/>
                <w:b/>
                <w:bCs/>
                <w:sz w:val="28"/>
                <w:szCs w:val="28"/>
              </w:rPr>
              <w:t>Calculus AB</w:t>
            </w:r>
            <w:r w:rsidRPr="00444256">
              <w:rPr>
                <w:rFonts w:ascii="Century Gothic" w:hAnsi="Century Gothic"/>
                <w:b/>
                <w:bCs/>
                <w:sz w:val="28"/>
                <w:szCs w:val="28"/>
              </w:rPr>
              <w:t xml:space="preserve"> Exam: </w:t>
            </w:r>
            <w:r w:rsidR="00C267D3">
              <w:rPr>
                <w:rFonts w:ascii="Century Gothic" w:hAnsi="Century Gothic"/>
                <w:b/>
                <w:bCs/>
                <w:sz w:val="28"/>
                <w:szCs w:val="28"/>
              </w:rPr>
              <w:t xml:space="preserve">May </w:t>
            </w:r>
            <w:r w:rsidR="005428BF">
              <w:rPr>
                <w:rFonts w:ascii="Century Gothic" w:hAnsi="Century Gothic"/>
                <w:b/>
                <w:bCs/>
                <w:sz w:val="28"/>
                <w:szCs w:val="28"/>
              </w:rPr>
              <w:t>8</w:t>
            </w:r>
            <w:r w:rsidR="005428BF" w:rsidRPr="005428BF">
              <w:rPr>
                <w:rFonts w:ascii="Century Gothic" w:hAnsi="Century Gothic"/>
                <w:b/>
                <w:bCs/>
                <w:sz w:val="28"/>
                <w:szCs w:val="28"/>
                <w:vertAlign w:val="superscript"/>
              </w:rPr>
              <w:t>th</w:t>
            </w:r>
            <w:r w:rsidR="005428BF">
              <w:rPr>
                <w:rFonts w:ascii="Century Gothic" w:hAnsi="Century Gothic"/>
                <w:b/>
                <w:bCs/>
                <w:sz w:val="28"/>
                <w:szCs w:val="28"/>
              </w:rPr>
              <w:t xml:space="preserve"> </w:t>
            </w:r>
          </w:p>
        </w:tc>
      </w:tr>
    </w:tbl>
    <w:p w14:paraId="7AF04C29" w14:textId="77777777" w:rsidR="00B87BC7" w:rsidRPr="00B87BC7" w:rsidRDefault="00B87BC7">
      <w:pPr>
        <w:rPr>
          <w:sz w:val="26"/>
          <w:szCs w:val="26"/>
        </w:rPr>
      </w:pPr>
    </w:p>
    <w:sectPr w:rsidR="00B87BC7" w:rsidRPr="00B87BC7" w:rsidSect="00B87BC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58AA" w14:textId="77777777" w:rsidR="000C14EA" w:rsidRDefault="000C14EA" w:rsidP="00B87BC7">
      <w:pPr>
        <w:spacing w:after="0" w:line="240" w:lineRule="auto"/>
      </w:pPr>
      <w:r>
        <w:separator/>
      </w:r>
    </w:p>
  </w:endnote>
  <w:endnote w:type="continuationSeparator" w:id="0">
    <w:p w14:paraId="40B628C9" w14:textId="77777777" w:rsidR="000C14EA" w:rsidRDefault="000C14EA" w:rsidP="00B8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62D7" w14:textId="77777777" w:rsidR="000C14EA" w:rsidRDefault="000C14EA" w:rsidP="00B87BC7">
      <w:pPr>
        <w:spacing w:after="0" w:line="240" w:lineRule="auto"/>
      </w:pPr>
      <w:r>
        <w:separator/>
      </w:r>
    </w:p>
  </w:footnote>
  <w:footnote w:type="continuationSeparator" w:id="0">
    <w:p w14:paraId="05A05E46" w14:textId="77777777" w:rsidR="000C14EA" w:rsidRDefault="000C14EA" w:rsidP="00B87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857" w14:textId="704FAAC2" w:rsidR="00B87BC7" w:rsidRDefault="00B87BC7" w:rsidP="00B87BC7">
    <w:pPr>
      <w:pStyle w:val="Header"/>
      <w:rPr>
        <w:rFonts w:ascii="Century Gothic" w:hAnsi="Century Gothic"/>
        <w:sz w:val="28"/>
        <w:szCs w:val="28"/>
      </w:rPr>
    </w:pPr>
    <w:r>
      <w:rPr>
        <w:noProof/>
      </w:rPr>
      <w:drawing>
        <wp:anchor distT="0" distB="0" distL="114300" distR="114300" simplePos="0" relativeHeight="251659264" behindDoc="1" locked="0" layoutInCell="1" allowOverlap="1" wp14:anchorId="49051BF6" wp14:editId="11F038CC">
          <wp:simplePos x="0" y="0"/>
          <wp:positionH relativeFrom="column">
            <wp:posOffset>482600</wp:posOffset>
          </wp:positionH>
          <wp:positionV relativeFrom="paragraph">
            <wp:posOffset>-93980</wp:posOffset>
          </wp:positionV>
          <wp:extent cx="666750" cy="647155"/>
          <wp:effectExtent l="0" t="0" r="0" b="635"/>
          <wp:wrapNone/>
          <wp:docPr id="2" name="Picture 2"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rotWithShape="1">
                  <a:blip r:embed="rId1">
                    <a:extLst>
                      <a:ext uri="{28A0092B-C50C-407E-A947-70E740481C1C}">
                        <a14:useLocalDpi xmlns:a14="http://schemas.microsoft.com/office/drawing/2010/main" val="0"/>
                      </a:ext>
                    </a:extLst>
                  </a:blip>
                  <a:srcRect l="25330" t="11593" r="22984" b="18140"/>
                  <a:stretch/>
                </pic:blipFill>
                <pic:spPr bwMode="auto">
                  <a:xfrm>
                    <a:off x="0" y="0"/>
                    <a:ext cx="666750" cy="64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ED4689" w14:textId="3C7F74ED" w:rsidR="00B87BC7" w:rsidRPr="00D9213F" w:rsidRDefault="00FA1E52" w:rsidP="00B87BC7">
    <w:pPr>
      <w:pStyle w:val="Header"/>
      <w:jc w:val="center"/>
      <w:rPr>
        <w:rFonts w:ascii="Century Gothic" w:hAnsi="Century Gothic"/>
        <w:sz w:val="36"/>
        <w:szCs w:val="36"/>
      </w:rPr>
    </w:pPr>
    <w:r>
      <w:rPr>
        <w:rFonts w:ascii="Century Gothic" w:hAnsi="Century Gothic"/>
        <w:sz w:val="28"/>
        <w:szCs w:val="28"/>
      </w:rPr>
      <w:t xml:space="preserve">AP </w:t>
    </w:r>
    <w:r w:rsidR="00741E72">
      <w:rPr>
        <w:rFonts w:ascii="Century Gothic" w:hAnsi="Century Gothic"/>
        <w:sz w:val="28"/>
        <w:szCs w:val="28"/>
      </w:rPr>
      <w:t>Calculus AB</w:t>
    </w:r>
    <w:r w:rsidR="00AB4862">
      <w:rPr>
        <w:rFonts w:ascii="Century Gothic" w:hAnsi="Century Gothic"/>
        <w:sz w:val="28"/>
        <w:szCs w:val="28"/>
      </w:rPr>
      <w:t xml:space="preserve"> </w:t>
    </w:r>
    <w:r w:rsidR="00B87BC7">
      <w:rPr>
        <w:rFonts w:ascii="Century Gothic" w:hAnsi="Century Gothic"/>
        <w:sz w:val="28"/>
        <w:szCs w:val="28"/>
      </w:rPr>
      <w:t>Year at a Glance</w:t>
    </w:r>
  </w:p>
  <w:p w14:paraId="1817D50E" w14:textId="3860B013" w:rsidR="00B87BC7" w:rsidRDefault="00B87BC7">
    <w:pPr>
      <w:pStyle w:val="Header"/>
    </w:pPr>
  </w:p>
  <w:p w14:paraId="73CE3680" w14:textId="77777777" w:rsidR="00B87BC7" w:rsidRDefault="00B87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1126"/>
    <w:multiLevelType w:val="hybridMultilevel"/>
    <w:tmpl w:val="B05C2E10"/>
    <w:lvl w:ilvl="0" w:tplc="3604B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97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C7"/>
    <w:rsid w:val="0001650D"/>
    <w:rsid w:val="00057222"/>
    <w:rsid w:val="00057E50"/>
    <w:rsid w:val="000915A1"/>
    <w:rsid w:val="000B3437"/>
    <w:rsid w:val="000C14EA"/>
    <w:rsid w:val="000F2ECB"/>
    <w:rsid w:val="00111705"/>
    <w:rsid w:val="00117434"/>
    <w:rsid w:val="001270D2"/>
    <w:rsid w:val="001356E0"/>
    <w:rsid w:val="00153039"/>
    <w:rsid w:val="00155E86"/>
    <w:rsid w:val="00173688"/>
    <w:rsid w:val="001847C3"/>
    <w:rsid w:val="00196ECC"/>
    <w:rsid w:val="00197150"/>
    <w:rsid w:val="001B082A"/>
    <w:rsid w:val="001B1C29"/>
    <w:rsid w:val="001B4989"/>
    <w:rsid w:val="001B560B"/>
    <w:rsid w:val="001E4B7E"/>
    <w:rsid w:val="00202DBD"/>
    <w:rsid w:val="0021404A"/>
    <w:rsid w:val="00215C74"/>
    <w:rsid w:val="00232CA8"/>
    <w:rsid w:val="00254325"/>
    <w:rsid w:val="00257EF8"/>
    <w:rsid w:val="002651E8"/>
    <w:rsid w:val="002745C9"/>
    <w:rsid w:val="00283895"/>
    <w:rsid w:val="002B6A9B"/>
    <w:rsid w:val="002B74F1"/>
    <w:rsid w:val="002C2963"/>
    <w:rsid w:val="002D0298"/>
    <w:rsid w:val="002D0D7A"/>
    <w:rsid w:val="00360FE7"/>
    <w:rsid w:val="00367BA7"/>
    <w:rsid w:val="00380222"/>
    <w:rsid w:val="00394A79"/>
    <w:rsid w:val="003A76F2"/>
    <w:rsid w:val="003D13F2"/>
    <w:rsid w:val="00407D22"/>
    <w:rsid w:val="00422BFD"/>
    <w:rsid w:val="004328BA"/>
    <w:rsid w:val="00444256"/>
    <w:rsid w:val="00455B91"/>
    <w:rsid w:val="0046713D"/>
    <w:rsid w:val="00491E9B"/>
    <w:rsid w:val="004A5B8C"/>
    <w:rsid w:val="004D6CD5"/>
    <w:rsid w:val="004E031D"/>
    <w:rsid w:val="004E38EC"/>
    <w:rsid w:val="004F501F"/>
    <w:rsid w:val="00506EBE"/>
    <w:rsid w:val="00515D4D"/>
    <w:rsid w:val="005165BC"/>
    <w:rsid w:val="00525E41"/>
    <w:rsid w:val="005428BF"/>
    <w:rsid w:val="00580202"/>
    <w:rsid w:val="00587118"/>
    <w:rsid w:val="005B1795"/>
    <w:rsid w:val="005B7A75"/>
    <w:rsid w:val="005C1BBC"/>
    <w:rsid w:val="00603272"/>
    <w:rsid w:val="00603659"/>
    <w:rsid w:val="006052D0"/>
    <w:rsid w:val="00612F51"/>
    <w:rsid w:val="00626C80"/>
    <w:rsid w:val="00627DF1"/>
    <w:rsid w:val="00631262"/>
    <w:rsid w:val="0063146A"/>
    <w:rsid w:val="00631B20"/>
    <w:rsid w:val="006509B1"/>
    <w:rsid w:val="006622A6"/>
    <w:rsid w:val="006B798D"/>
    <w:rsid w:val="006C7BCF"/>
    <w:rsid w:val="006F4FBF"/>
    <w:rsid w:val="00713A25"/>
    <w:rsid w:val="0072456A"/>
    <w:rsid w:val="00741E72"/>
    <w:rsid w:val="00767AA5"/>
    <w:rsid w:val="00767AC2"/>
    <w:rsid w:val="00777707"/>
    <w:rsid w:val="0078186F"/>
    <w:rsid w:val="007C3351"/>
    <w:rsid w:val="007E4EDE"/>
    <w:rsid w:val="007E6F6A"/>
    <w:rsid w:val="007E7B51"/>
    <w:rsid w:val="007F4CB8"/>
    <w:rsid w:val="00815133"/>
    <w:rsid w:val="00820B6D"/>
    <w:rsid w:val="00822B3F"/>
    <w:rsid w:val="00862FE0"/>
    <w:rsid w:val="0086480B"/>
    <w:rsid w:val="0089619A"/>
    <w:rsid w:val="008B35B8"/>
    <w:rsid w:val="008B6C3D"/>
    <w:rsid w:val="00910A4E"/>
    <w:rsid w:val="0092135E"/>
    <w:rsid w:val="00952263"/>
    <w:rsid w:val="00997C01"/>
    <w:rsid w:val="009A2B7D"/>
    <w:rsid w:val="009A6A4F"/>
    <w:rsid w:val="009B6BB5"/>
    <w:rsid w:val="009D03ED"/>
    <w:rsid w:val="00A079F3"/>
    <w:rsid w:val="00A55C8F"/>
    <w:rsid w:val="00A630E4"/>
    <w:rsid w:val="00A745ED"/>
    <w:rsid w:val="00A92476"/>
    <w:rsid w:val="00AA07BE"/>
    <w:rsid w:val="00AB455B"/>
    <w:rsid w:val="00AB4862"/>
    <w:rsid w:val="00AC458D"/>
    <w:rsid w:val="00AD0945"/>
    <w:rsid w:val="00AD6410"/>
    <w:rsid w:val="00AF1836"/>
    <w:rsid w:val="00B101CF"/>
    <w:rsid w:val="00B46734"/>
    <w:rsid w:val="00B705CF"/>
    <w:rsid w:val="00B7105A"/>
    <w:rsid w:val="00B82277"/>
    <w:rsid w:val="00B87BC7"/>
    <w:rsid w:val="00BA015C"/>
    <w:rsid w:val="00BD0841"/>
    <w:rsid w:val="00BD0B59"/>
    <w:rsid w:val="00BD79B9"/>
    <w:rsid w:val="00BE625D"/>
    <w:rsid w:val="00C13DF1"/>
    <w:rsid w:val="00C267D3"/>
    <w:rsid w:val="00C47E48"/>
    <w:rsid w:val="00CD04A5"/>
    <w:rsid w:val="00CD3BA0"/>
    <w:rsid w:val="00CD3C9D"/>
    <w:rsid w:val="00CE287A"/>
    <w:rsid w:val="00CE7C32"/>
    <w:rsid w:val="00D07907"/>
    <w:rsid w:val="00D15E05"/>
    <w:rsid w:val="00D16093"/>
    <w:rsid w:val="00D20B66"/>
    <w:rsid w:val="00D23FF8"/>
    <w:rsid w:val="00D3030C"/>
    <w:rsid w:val="00D4230D"/>
    <w:rsid w:val="00D44EA0"/>
    <w:rsid w:val="00D520F1"/>
    <w:rsid w:val="00D6104A"/>
    <w:rsid w:val="00D9207C"/>
    <w:rsid w:val="00DA5907"/>
    <w:rsid w:val="00DB552F"/>
    <w:rsid w:val="00DF1F97"/>
    <w:rsid w:val="00E0104D"/>
    <w:rsid w:val="00E04585"/>
    <w:rsid w:val="00E153B6"/>
    <w:rsid w:val="00E162FC"/>
    <w:rsid w:val="00E5578F"/>
    <w:rsid w:val="00E558BB"/>
    <w:rsid w:val="00E91BFB"/>
    <w:rsid w:val="00EA030F"/>
    <w:rsid w:val="00EA5A98"/>
    <w:rsid w:val="00EB2461"/>
    <w:rsid w:val="00EC0F94"/>
    <w:rsid w:val="00EE4FCD"/>
    <w:rsid w:val="00F027C0"/>
    <w:rsid w:val="00F041D0"/>
    <w:rsid w:val="00F17C91"/>
    <w:rsid w:val="00F266C0"/>
    <w:rsid w:val="00F654B2"/>
    <w:rsid w:val="00F65FD9"/>
    <w:rsid w:val="00F8478B"/>
    <w:rsid w:val="00FA1E52"/>
    <w:rsid w:val="00FB660A"/>
    <w:rsid w:val="00FE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560F"/>
  <w15:chartTrackingRefBased/>
  <w15:docId w15:val="{9B6EACFD-7EB4-44D0-8488-2FC3BCD0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BC7"/>
    <w:pPr>
      <w:ind w:left="720"/>
      <w:contextualSpacing/>
    </w:pPr>
  </w:style>
  <w:style w:type="character" w:styleId="Hyperlink">
    <w:name w:val="Hyperlink"/>
    <w:basedOn w:val="DefaultParagraphFont"/>
    <w:uiPriority w:val="99"/>
    <w:unhideWhenUsed/>
    <w:rsid w:val="00B87BC7"/>
    <w:rPr>
      <w:color w:val="0563C1" w:themeColor="hyperlink"/>
      <w:u w:val="single"/>
    </w:rPr>
  </w:style>
  <w:style w:type="paragraph" w:styleId="NormalWeb">
    <w:name w:val="Normal (Web)"/>
    <w:basedOn w:val="Normal"/>
    <w:uiPriority w:val="99"/>
    <w:unhideWhenUsed/>
    <w:rsid w:val="00B87B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7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C7"/>
  </w:style>
  <w:style w:type="paragraph" w:styleId="Footer">
    <w:name w:val="footer"/>
    <w:basedOn w:val="Normal"/>
    <w:link w:val="FooterChar"/>
    <w:uiPriority w:val="99"/>
    <w:unhideWhenUsed/>
    <w:rsid w:val="00B87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C7"/>
  </w:style>
  <w:style w:type="character" w:styleId="PlaceholderText">
    <w:name w:val="Placeholder Text"/>
    <w:basedOn w:val="DefaultParagraphFont"/>
    <w:uiPriority w:val="99"/>
    <w:semiHidden/>
    <w:rsid w:val="00BD0841"/>
    <w:rPr>
      <w:color w:val="808080"/>
    </w:rPr>
  </w:style>
  <w:style w:type="character" w:styleId="UnresolvedMention">
    <w:name w:val="Unresolved Mention"/>
    <w:basedOn w:val="DefaultParagraphFont"/>
    <w:uiPriority w:val="99"/>
    <w:semiHidden/>
    <w:unhideWhenUsed/>
    <w:rsid w:val="00202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hanacademy.org/math/ap-calculus-a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Mierzwinski</dc:creator>
  <cp:keywords/>
  <dc:description/>
  <cp:lastModifiedBy>Jenna Yow</cp:lastModifiedBy>
  <cp:revision>3</cp:revision>
  <cp:lastPrinted>2022-02-07T15:45:00Z</cp:lastPrinted>
  <dcterms:created xsi:type="dcterms:W3CDTF">2023-06-08T20:33:00Z</dcterms:created>
  <dcterms:modified xsi:type="dcterms:W3CDTF">2023-06-08T20:33:00Z</dcterms:modified>
</cp:coreProperties>
</file>