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0"/>
        <w:gridCol w:w="7560"/>
        <w:gridCol w:w="3120"/>
      </w:tblGrid>
      <w:tr w:rsidR="00A4078E">
        <w:trPr>
          <w:trHeight w:val="709"/>
        </w:trPr>
        <w:tc>
          <w:tcPr>
            <w:tcW w:w="1290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English IV Language Arts College Prep (12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grade)</w:t>
            </w:r>
          </w:p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Year at a Glance</w:t>
            </w:r>
          </w:p>
        </w:tc>
      </w:tr>
      <w:tr w:rsidR="00A4078E">
        <w:trPr>
          <w:trHeight w:val="2961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English Language Arts(12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Grade)  College Prep </w:t>
            </w:r>
          </w:p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Course Description to be covered over 4 quarters</w:t>
            </w:r>
          </w:p>
        </w:tc>
        <w:tc>
          <w:tcPr>
            <w:tcW w:w="756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u w:color="2D2D2D"/>
              </w:rPr>
            </w:pPr>
            <w:r>
              <w:rPr>
                <w:rFonts w:ascii="Times New Roman" w:hAnsi="Times New Roman"/>
                <w:color w:val="2D2D2D"/>
                <w:u w:color="2D2D2D"/>
              </w:rPr>
              <w:t>Course Description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This course incorporates reading and writing study through writing a variety of informative texts using grade-level writing craft and through the in-depth reading and analysis of informational selections in order to develop critical reading and writing ski</w:t>
            </w:r>
            <w:r>
              <w:rPr>
                <w:rFonts w:ascii="Times New Roman" w:hAnsi="Times New Roman"/>
              </w:rPr>
              <w:t xml:space="preserve">lls necessary for success in college courses. This course prepares students for successful completion of Florida college English courses. The benchmarks reflect the Florida Postsecondary Readiness Competencies necessary for entry-level college courses.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he content should include, but not be limited to, the following: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hAnsi="Times New Roman"/>
              </w:rPr>
              <w:t>demonstrating successful reading of argument, including recognizing bias and supporting details; demonstrating successful reading of fact and opinion, including recognizing inferences and mai</w:t>
            </w:r>
            <w:r>
              <w:rPr>
                <w:rFonts w:ascii="Times New Roman" w:hAnsi="Times New Roman"/>
              </w:rPr>
              <w:t xml:space="preserve">n ideas; demonstrating knowledge of a variety of organizational patterns and their relationships in the comprehension of text, including recognizing purpose and tone of informational reading; demonstrating successful understanding of vocabulary in context </w:t>
            </w:r>
            <w:r>
              <w:rPr>
                <w:rFonts w:ascii="Times New Roman" w:hAnsi="Times New Roman"/>
              </w:rPr>
              <w:t xml:space="preserve">and through writing effective sentence structures; effectively implementing patterns of paragraph development; recognizing and solving common sentence development problems; reading and modeling mentor essays; and understanding and using language, grammar, </w:t>
            </w:r>
            <w:r>
              <w:rPr>
                <w:rFonts w:ascii="Times New Roman" w:hAnsi="Times New Roman"/>
              </w:rPr>
              <w:t>and mechanics effectively.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End"/>
            <w:r>
              <w:rPr>
                <w:rFonts w:ascii="Times New Roman" w:hAnsi="Times New Roman"/>
                <w:b/>
                <w:bCs/>
              </w:rPr>
              <w:t>Instructional Practices:</w:t>
            </w:r>
            <w:r>
              <w:rPr>
                <w:rFonts w:ascii="Times New Roman" w:hAnsi="Times New Roman"/>
              </w:rPr>
              <w:t xml:space="preserve"> Teaching from well-written, grade-level instructional materials enhances students' content area knowledge </w:t>
            </w:r>
            <w:proofErr w:type="gramStart"/>
            <w:r>
              <w:rPr>
                <w:rFonts w:ascii="Times New Roman" w:hAnsi="Times New Roman"/>
              </w:rPr>
              <w:t>and also</w:t>
            </w:r>
            <w:proofErr w:type="gramEnd"/>
            <w:r>
              <w:rPr>
                <w:rFonts w:ascii="Times New Roman" w:hAnsi="Times New Roman"/>
              </w:rPr>
              <w:t xml:space="preserve"> strengthens their ability to comprehend longer, complex reading passages on any topic fo</w:t>
            </w:r>
            <w:r>
              <w:rPr>
                <w:rFonts w:ascii="Times New Roman" w:hAnsi="Times New Roman"/>
              </w:rPr>
              <w:t>r any purpose. Using the following instructional practices also helps student learning.</w:t>
            </w:r>
          </w:p>
          <w:p w:rsidR="00A4078E" w:rsidRDefault="00D73646">
            <w:pPr>
              <w:pStyle w:val="Body"/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Reading assignments from longer text passages, as well as shorter ones when text is extremely complex.</w:t>
            </w:r>
          </w:p>
          <w:p w:rsidR="00A4078E" w:rsidRDefault="00D73646">
            <w:pPr>
              <w:pStyle w:val="Body"/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Making close reading and rereading of texts central to lessons.</w:t>
            </w:r>
          </w:p>
          <w:p w:rsidR="00A4078E" w:rsidRDefault="00D73646">
            <w:pPr>
              <w:pStyle w:val="Body"/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Asking high-level, text-specific questions and requiring high-level, complex tasks and assignments.</w:t>
            </w:r>
          </w:p>
          <w:p w:rsidR="00A4078E" w:rsidRDefault="00D73646">
            <w:pPr>
              <w:pStyle w:val="Body"/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Requiring students to support answers with evidence from the text.</w:t>
            </w:r>
          </w:p>
          <w:p w:rsidR="00A4078E" w:rsidRDefault="00D73646">
            <w:pPr>
              <w:pStyle w:val="Body"/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Providing extensive text-based research and writing opportunities (claims and evidence).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Family Resources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</w:rPr>
            </w:pPr>
            <w:hyperlink r:id="rId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Language Arts Florida Standards Grade 12</w:t>
              </w:r>
            </w:hyperlink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70C0"/>
              </w:rPr>
            </w:pPr>
          </w:p>
          <w:p w:rsidR="00A4078E" w:rsidRDefault="00D73646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color="0070C0"/>
              </w:rPr>
            </w:pPr>
            <w:hyperlink r:id="rId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What Is Text Based Talk</w:t>
              </w:r>
            </w:hyperlink>
            <w:r>
              <w:rPr>
                <w:rFonts w:ascii="Times New Roman" w:hAnsi="Times New Roman"/>
                <w:color w:val="0070C0"/>
                <w:sz w:val="24"/>
                <w:szCs w:val="24"/>
                <w:u w:color="0070C0"/>
              </w:rPr>
              <w:t>?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</w:pPr>
          </w:p>
        </w:tc>
      </w:tr>
      <w:tr w:rsidR="00A4078E">
        <w:trPr>
          <w:trHeight w:val="4551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u w:color="FF0000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>*Please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 xml:space="preserve"> note that short and extended informational and argumentative writing tasks will be embedded into reading responses to support students as</w:t>
            </w:r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 xml:space="preserve"> they progress towards the FSA- retake Writing Assessment.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u w:color="FF0000"/>
              </w:rPr>
            </w:pPr>
          </w:p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 xml:space="preserve">*Unlike most other subjects, the English Language Arts standards 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>are not taught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 xml:space="preserve"> in isolation or sequential order. This means that standards spiral in and out of each lesson, </w:t>
            </w:r>
            <w:proofErr w:type="gramStart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>are paired</w:t>
            </w:r>
            <w:proofErr w:type="gramEnd"/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 xml:space="preserve"> strategical</w:t>
            </w:r>
            <w:r>
              <w:rPr>
                <w:rFonts w:ascii="Times New Roman" w:hAnsi="Times New Roman"/>
                <w:i/>
                <w:iCs/>
                <w:color w:val="FF0000"/>
                <w:u w:color="FF0000"/>
              </w:rPr>
              <w:t>ly, and will repeat throughout the year depending on the theme, task, and text.</w:t>
            </w:r>
          </w:p>
        </w:tc>
      </w:tr>
      <w:tr w:rsidR="00A4078E">
        <w:trPr>
          <w:trHeight w:val="32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A4078E"/>
        </w:tc>
      </w:tr>
      <w:tr w:rsidR="00A4078E">
        <w:trPr>
          <w:trHeight w:val="32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756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4078E" w:rsidRDefault="00A4078E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A4078E"/>
        </w:tc>
      </w:tr>
      <w:tr w:rsidR="00A4078E">
        <w:trPr>
          <w:trHeight w:val="320"/>
        </w:trPr>
        <w:tc>
          <w:tcPr>
            <w:tcW w:w="22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A4078E"/>
        </w:tc>
        <w:tc>
          <w:tcPr>
            <w:tcW w:w="756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Key Standards Covered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Examples of Resources</w:t>
            </w:r>
          </w:p>
        </w:tc>
      </w:tr>
      <w:tr w:rsidR="00A4078E">
        <w:trPr>
          <w:trHeight w:val="34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Quarter 1</w:t>
            </w:r>
          </w:p>
        </w:tc>
        <w:tc>
          <w:tcPr>
            <w:tcW w:w="7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4078E" w:rsidRDefault="00D736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Students will be able to:</w:t>
            </w: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9" w:history="1">
              <w:r>
                <w:rPr>
                  <w:rStyle w:val="Hyperlink2"/>
                </w:rPr>
                <w:t xml:space="preserve">LAFS.1112.L.1.2 </w:t>
              </w:r>
            </w:hyperlink>
            <w:r>
              <w:t>Demonstrate command of the conventions of standard English capitalization, punctuation, and spelling when</w:t>
            </w:r>
          </w:p>
          <w:p w:rsidR="00A4078E" w:rsidRDefault="00A4078E">
            <w:pPr>
              <w:pStyle w:val="Body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hyperlink r:id="rId10" w:history="1">
              <w:r>
                <w:rPr>
                  <w:rStyle w:val="Hyperlink2"/>
                </w:rPr>
                <w:t xml:space="preserve">LAFS.1112.L.3.6 </w:t>
              </w:r>
            </w:hyperlink>
            <w:r>
              <w:t>Acquire and use accurately general acade</w:t>
            </w:r>
            <w:r>
              <w:t>mic and domain-specific words and phrases, sufficient for reading, writing, speaking, and listening at the college and career readiness level</w:t>
            </w:r>
            <w:proofErr w:type="gramStart"/>
            <w:r>
              <w:t>;</w:t>
            </w:r>
            <w:proofErr w:type="gramEnd"/>
            <w:r>
              <w:t xml:space="preserve"> demonstrate independence in gathering vocabulary knowledge when considering a word or phrase important to compreh</w:t>
            </w:r>
            <w:r>
              <w:t xml:space="preserve">ension or expression. </w:t>
            </w:r>
          </w:p>
          <w:p w:rsidR="00A4078E" w:rsidRDefault="00A4078E">
            <w:pPr>
              <w:pStyle w:val="Body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1" w:history="1">
              <w:r>
                <w:rPr>
                  <w:rStyle w:val="Hyperlink2"/>
                </w:rPr>
                <w:t xml:space="preserve">LAFS.1112.RI.1.1 </w:t>
              </w:r>
            </w:hyperlink>
            <w:r>
              <w:t xml:space="preserve">Cite strong and thorough textual evidence to support analysis of what the text says explicitly as well as inferences drawn from the text, </w:t>
            </w:r>
            <w:r>
              <w:t>including determining where the text leaves matters uncertain.</w:t>
            </w:r>
          </w:p>
          <w:p w:rsidR="00A4078E" w:rsidRDefault="00A4078E">
            <w:pPr>
              <w:pStyle w:val="ListParagraph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2" w:history="1">
              <w:r>
                <w:rPr>
                  <w:rStyle w:val="Hyperlink2"/>
                </w:rPr>
                <w:t xml:space="preserve">LAFS.1112.RI.1.2 </w:t>
              </w:r>
            </w:hyperlink>
            <w:r>
              <w:t>Determine two or more central ideas of a text and analyze their development over the course of the tex</w:t>
            </w:r>
            <w:r>
              <w:t>t, including how they interact and build on one another to provide a complex analysis; provide an objective summary of the text.</w:t>
            </w:r>
          </w:p>
          <w:p w:rsidR="00A4078E" w:rsidRDefault="00A4078E">
            <w:pPr>
              <w:pStyle w:val="ListParagraph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3" w:history="1">
              <w:r>
                <w:rPr>
                  <w:rStyle w:val="Hyperlink2"/>
                </w:rPr>
                <w:t xml:space="preserve">LAFS.1112.RI.1.3 </w:t>
              </w:r>
            </w:hyperlink>
            <w:r>
              <w:t>Analyze a complex set of ideas or se</w:t>
            </w:r>
            <w:r>
              <w:t>quence of events and explain how specific individuals, ideas, or events interact and develop over the course of the text.</w:t>
            </w:r>
          </w:p>
          <w:p w:rsidR="00A4078E" w:rsidRDefault="00A4078E">
            <w:pPr>
              <w:pStyle w:val="Body"/>
              <w:spacing w:after="0" w:line="240" w:lineRule="auto"/>
            </w:pPr>
          </w:p>
          <w:p w:rsidR="00A4078E" w:rsidRDefault="00A4078E">
            <w:pPr>
              <w:pStyle w:val="Body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4" w:history="1">
              <w:r w:rsidRPr="0001486E">
                <w:rPr>
                  <w:rStyle w:val="Hyperlink1"/>
                  <w:color w:val="0070C0"/>
                </w:rPr>
                <w:t>LAFS.1112.W</w:t>
              </w:r>
              <w:r w:rsidRPr="0001486E">
                <w:rPr>
                  <w:rStyle w:val="Hyperlink1"/>
                  <w:color w:val="0070C0"/>
                </w:rPr>
                <w:t xml:space="preserve">.1.3 </w:t>
              </w:r>
            </w:hyperlink>
            <w:r>
              <w:t>Write narratives to develop real or imagine</w:t>
            </w:r>
            <w:r>
              <w:t>d experiences or events using effective technique, well-chosen details, and well-structured event sequences.</w:t>
            </w:r>
          </w:p>
          <w:p w:rsidR="00A4078E" w:rsidRDefault="00A4078E">
            <w:pPr>
              <w:pStyle w:val="ListParagraph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5" w:history="1">
              <w:r w:rsidRPr="0001486E">
                <w:rPr>
                  <w:rStyle w:val="Hyperlink1"/>
                  <w:color w:val="0070C0"/>
                </w:rPr>
                <w:t>LAFS.1112.W</w:t>
              </w:r>
              <w:r w:rsidRPr="0001486E">
                <w:rPr>
                  <w:rStyle w:val="Hyperlink1"/>
                  <w:color w:val="0070C0"/>
                </w:rPr>
                <w:t>.2.4</w:t>
              </w:r>
              <w:r>
                <w:rPr>
                  <w:rStyle w:val="Hyperlink1"/>
                </w:rPr>
                <w:t xml:space="preserve"> </w:t>
              </w:r>
            </w:hyperlink>
            <w:r>
              <w:t>Produce clear and coherent writing in which the developme</w:t>
            </w:r>
            <w:r>
              <w:t>nt, organization, and style are appropriate to task, purpose, and audience.</w:t>
            </w:r>
          </w:p>
          <w:p w:rsidR="00A4078E" w:rsidRDefault="00A4078E">
            <w:pPr>
              <w:pStyle w:val="ListParagraph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6" w:history="1">
              <w:r w:rsidRPr="0001486E">
                <w:rPr>
                  <w:rStyle w:val="Hyperlink1"/>
                  <w:color w:val="0070C0"/>
                </w:rPr>
                <w:t>LAFS.111</w:t>
              </w:r>
              <w:r w:rsidRPr="0001486E">
                <w:rPr>
                  <w:rStyle w:val="Hyperlink1"/>
                  <w:color w:val="0070C0"/>
                </w:rPr>
                <w:t xml:space="preserve">2.W.3.9 </w:t>
              </w:r>
            </w:hyperlink>
            <w:r>
              <w:t xml:space="preserve">Draw evidence from literary or informational texts to support analysis, reflection, and </w:t>
            </w:r>
            <w:r>
              <w:t>research.</w:t>
            </w:r>
          </w:p>
          <w:p w:rsidR="00A4078E" w:rsidRDefault="00A4078E">
            <w:pPr>
              <w:pStyle w:val="ListParagraph"/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hyperlink r:id="rId17" w:history="1">
              <w:r w:rsidRPr="0001486E">
                <w:rPr>
                  <w:rStyle w:val="Hyperlink1"/>
                  <w:color w:val="0070C0"/>
                </w:rPr>
                <w:t>LAFS.6.L.</w:t>
              </w:r>
              <w:r w:rsidRPr="0001486E">
                <w:rPr>
                  <w:rStyle w:val="Hyperlink1"/>
                  <w:color w:val="0070C0"/>
                </w:rPr>
                <w:t xml:space="preserve">1.2 </w:t>
              </w:r>
            </w:hyperlink>
            <w:r w:rsidRPr="0001486E">
              <w:rPr>
                <w:color w:val="auto"/>
              </w:rPr>
              <w:t>D</w:t>
            </w:r>
            <w:r>
              <w:t xml:space="preserve">emonstrate command of the conventions of </w:t>
            </w:r>
            <w:proofErr w:type="gramStart"/>
            <w:r>
              <w:t>standard</w:t>
            </w:r>
            <w:proofErr w:type="gramEnd"/>
            <w:r>
              <w:t xml:space="preserve"> English capitalization, punctuation, and spelling when writing. Use punctuation (commas, parentheses, dashes</w:t>
            </w:r>
            <w:r>
              <w:t>) to set off nonrestrictive/parenthetical elements. Spell correctly.</w:t>
            </w:r>
          </w:p>
          <w:p w:rsidR="00A4078E" w:rsidRDefault="00A4078E">
            <w:pPr>
              <w:pStyle w:val="Body"/>
              <w:spacing w:after="0" w:line="240" w:lineRule="auto"/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Example Texts*</w:t>
            </w:r>
          </w:p>
        </w:tc>
      </w:tr>
      <w:tr w:rsidR="00A4078E">
        <w:trPr>
          <w:trHeight w:val="9200"/>
        </w:trPr>
        <w:tc>
          <w:tcPr>
            <w:tcW w:w="22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756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Narrative </w:t>
            </w:r>
            <w:r>
              <w:rPr>
                <w:rFonts w:ascii="Times New Roman" w:hAnsi="Times New Roman"/>
                <w:b/>
                <w:bCs/>
              </w:rPr>
              <w:t>–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The Deep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pg. 433 Anthony </w:t>
            </w:r>
            <w:proofErr w:type="spellStart"/>
            <w:r>
              <w:rPr>
                <w:rFonts w:ascii="Times New Roman" w:hAnsi="Times New Roman"/>
              </w:rPr>
              <w:t>Doerr</w:t>
            </w:r>
            <w:proofErr w:type="spellEnd"/>
            <w:r>
              <w:rPr>
                <w:rFonts w:ascii="Times New Roman" w:hAnsi="Times New Roman"/>
              </w:rPr>
              <w:t xml:space="preserve"> (fiction)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The Clan of One-Breasted Women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pg. 187, Terry Tempest Williams (non-fiction)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Tell Them Not</w:t>
            </w:r>
            <w:r>
              <w:rPr>
                <w:rFonts w:ascii="Times New Roman" w:hAnsi="Times New Roman"/>
              </w:rPr>
              <w:t xml:space="preserve"> to Kill Me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pg. 369, Juan </w:t>
            </w:r>
            <w:proofErr w:type="spellStart"/>
            <w:r>
              <w:rPr>
                <w:rFonts w:ascii="Times New Roman" w:hAnsi="Times New Roman"/>
              </w:rPr>
              <w:t>Rulfo</w:t>
            </w:r>
            <w:proofErr w:type="spellEnd"/>
            <w:r>
              <w:rPr>
                <w:rFonts w:ascii="Times New Roman" w:hAnsi="Times New Roman"/>
              </w:rPr>
              <w:t xml:space="preserve"> (fiction)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Descriptive -   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A Walk to the Jetty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, pg. 3, Jamaica Kincaid (fiction)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Mallam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Sile</w:t>
            </w:r>
            <w:proofErr w:type="spellEnd"/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pg. 93, Mohammed </w:t>
            </w:r>
            <w:proofErr w:type="spellStart"/>
            <w:r>
              <w:rPr>
                <w:rFonts w:ascii="Times New Roman" w:hAnsi="Times New Roman"/>
              </w:rPr>
              <w:t>Naseehu</w:t>
            </w:r>
            <w:proofErr w:type="spellEnd"/>
            <w:r>
              <w:rPr>
                <w:rFonts w:ascii="Times New Roman" w:hAnsi="Times New Roman"/>
              </w:rPr>
              <w:t xml:space="preserve"> Ali (fiction)</w:t>
            </w: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Writing With Confidence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Narrative </w:t>
            </w:r>
            <w:r>
              <w:rPr>
                <w:rFonts w:ascii="Times New Roman" w:hAnsi="Times New Roman"/>
                <w:b/>
                <w:bCs/>
              </w:rPr>
              <w:t xml:space="preserve">–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The Toughest Man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pg. 238, Victor </w:t>
            </w:r>
            <w:proofErr w:type="spellStart"/>
            <w:r>
              <w:rPr>
                <w:rFonts w:ascii="Times New Roman" w:hAnsi="Times New Roman"/>
              </w:rPr>
              <w:t>Ciurte</w:t>
            </w:r>
            <w:proofErr w:type="spellEnd"/>
          </w:p>
          <w:p w:rsidR="00A4078E" w:rsidRDefault="00A4078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Descriptive </w:t>
            </w:r>
            <w:r>
              <w:rPr>
                <w:rFonts w:ascii="Times New Roman" w:hAnsi="Times New Roman"/>
                <w:b/>
                <w:bCs/>
              </w:rPr>
              <w:t>–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Excerpt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Girl with a Pearl Earring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pg. 221, Tracy Chevalier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Reading Support for Students: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18" w:history="1">
              <w:r>
                <w:rPr>
                  <w:rStyle w:val="Hyperlink0"/>
                  <w:rFonts w:ascii="Times New Roman" w:hAnsi="Times New Roman"/>
                </w:rPr>
                <w:t>C</w:t>
              </w:r>
              <w:bookmarkStart w:id="0" w:name="_GoBack"/>
              <w:bookmarkEnd w:id="0"/>
              <w:r>
                <w:rPr>
                  <w:rStyle w:val="Hyperlink0"/>
                  <w:rFonts w:ascii="Times New Roman" w:hAnsi="Times New Roman"/>
                </w:rPr>
                <w:t xml:space="preserve">larence Darrow's Leopold and Loeb Speech: </w:t>
              </w:r>
            </w:hyperlink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By the end </w:t>
            </w:r>
            <w:r>
              <w:rPr>
                <w:rFonts w:ascii="Times New Roman" w:hAnsi="Times New Roman"/>
              </w:rPr>
              <w:t xml:space="preserve">of this </w:t>
            </w:r>
            <w:proofErr w:type="gramStart"/>
            <w:r>
              <w:rPr>
                <w:rFonts w:ascii="Times New Roman" w:hAnsi="Times New Roman"/>
              </w:rPr>
              <w:t>tutorial</w:t>
            </w:r>
            <w:proofErr w:type="gramEnd"/>
            <w:r>
              <w:rPr>
                <w:rFonts w:ascii="Times New Roman" w:hAnsi="Times New Roman"/>
              </w:rPr>
              <w:t xml:space="preserve"> you should be able to provide a complex analysis of two or more central ideas in a nonfiction text.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Writing  Support for Students: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>
                <w:rPr>
                  <w:rStyle w:val="Hyperlink0"/>
                  <w:rFonts w:ascii="Times New Roman" w:hAnsi="Times New Roman"/>
                </w:rPr>
                <w:t>Guide to Grammar and Writing: Pr</w:t>
              </w:r>
              <w:r>
                <w:rPr>
                  <w:rStyle w:val="Hyperlink0"/>
                  <w:rFonts w:ascii="Times New Roman" w:hAnsi="Times New Roman"/>
                </w:rPr>
                <w:t>inciples of Composition: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proofErr w:type="gramStart"/>
            <w:r>
              <w:rPr>
                <w:sz w:val="22"/>
                <w:szCs w:val="22"/>
              </w:rPr>
              <w:t>is a comprehensive guide that</w:t>
            </w:r>
            <w:proofErr w:type="gramEnd"/>
            <w:r>
              <w:rPr>
                <w:sz w:val="22"/>
                <w:szCs w:val="22"/>
              </w:rPr>
              <w:t xml:space="preserve"> can help students with writing.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Sample Writing Task: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Based on the themes of this quarter and your reading of the anchor and supplemental texts, write a narrative essay that relates a story from your past.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</w:pPr>
          </w:p>
        </w:tc>
      </w:tr>
      <w:tr w:rsidR="00A4078E">
        <w:trPr>
          <w:trHeight w:val="241"/>
        </w:trPr>
        <w:tc>
          <w:tcPr>
            <w:tcW w:w="22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756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A4078E"/>
        </w:tc>
      </w:tr>
      <w:tr w:rsidR="00A4078E">
        <w:trPr>
          <w:trHeight w:val="271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Quarter 2</w:t>
            </w: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Key Standards Covered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Examples of Resources</w:t>
            </w:r>
          </w:p>
        </w:tc>
      </w:tr>
      <w:tr w:rsidR="00A4078E">
        <w:trPr>
          <w:trHeight w:val="920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4078E" w:rsidRDefault="00D736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Students will be able to :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>
                <w:rPr>
                  <w:rStyle w:val="Hyperlink0"/>
                  <w:rFonts w:ascii="Times New Roman" w:hAnsi="Times New Roman"/>
                </w:rPr>
                <w:t xml:space="preserve">LAFS.1112.L.1.2 </w:t>
              </w:r>
            </w:hyperlink>
            <w:r>
              <w:rPr>
                <w:rFonts w:ascii="Times New Roman" w:hAnsi="Times New Roman"/>
              </w:rPr>
              <w:t>Demonstrate command of the conventions of standard English capitalization, punctuation, and spelling when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>
                <w:rPr>
                  <w:rStyle w:val="Hyperlink0"/>
                  <w:rFonts w:ascii="Times New Roman" w:hAnsi="Times New Roman"/>
                </w:rPr>
                <w:t xml:space="preserve">LAFS.1112.L.3.6 </w:t>
              </w:r>
            </w:hyperlink>
            <w:r>
              <w:rPr>
                <w:rFonts w:ascii="Times New Roman" w:hAnsi="Times New Roman"/>
              </w:rPr>
              <w:t>Acquire and use accurately general academic and domain-specific words and phrases, sufficient for reading, writing, speaking, and listening at the college and career readiness level</w:t>
            </w:r>
            <w:proofErr w:type="gramStart"/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demonstrate independence in gathering vocab</w:t>
            </w:r>
            <w:r>
              <w:rPr>
                <w:rFonts w:ascii="Times New Roman" w:hAnsi="Times New Roman"/>
              </w:rPr>
              <w:t xml:space="preserve">ulary knowledge when considering a word or phrase important to comprehension or expression. 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>
                <w:rPr>
                  <w:rStyle w:val="Hyperlink0"/>
                  <w:rFonts w:ascii="Times New Roman" w:hAnsi="Times New Roman"/>
                </w:rPr>
                <w:t xml:space="preserve">LAFS.1112.RI.1.1 </w:t>
              </w:r>
            </w:hyperlink>
            <w:r>
              <w:rPr>
                <w:rFonts w:ascii="Times New Roman" w:hAnsi="Times New Roman"/>
              </w:rPr>
              <w:t>Cite strong and thorough textual evidence to support analysis of what th</w:t>
            </w:r>
            <w:r>
              <w:rPr>
                <w:rFonts w:ascii="Times New Roman" w:hAnsi="Times New Roman"/>
              </w:rPr>
              <w:t>e text says explicitly as well as inferences drawn from the text, including determining where the text leaves matters uncertain.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>
                <w:rPr>
                  <w:rStyle w:val="Hyperlink0"/>
                  <w:rFonts w:ascii="Times New Roman" w:hAnsi="Times New Roman"/>
                </w:rPr>
                <w:t xml:space="preserve">LAFS.1112.RI.1.2 </w:t>
              </w:r>
            </w:hyperlink>
            <w:r>
              <w:rPr>
                <w:rFonts w:ascii="Times New Roman" w:hAnsi="Times New Roman"/>
              </w:rPr>
              <w:t xml:space="preserve">Determine two or more central ideas </w:t>
            </w:r>
            <w:r>
              <w:rPr>
                <w:rFonts w:ascii="Times New Roman" w:hAnsi="Times New Roman"/>
              </w:rPr>
              <w:t>of a text and analyze their development over the course of the text, including how they interact and build on one another to provide a complex analysis; provide an objective summary of the text.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>
                <w:rPr>
                  <w:rStyle w:val="Hyperlink0"/>
                  <w:rFonts w:ascii="Times New Roman" w:hAnsi="Times New Roman"/>
                </w:rPr>
                <w:t xml:space="preserve">LAFS.1112.RI.1.3 </w:t>
              </w:r>
            </w:hyperlink>
            <w:r>
              <w:rPr>
                <w:rFonts w:ascii="Times New Roman" w:hAnsi="Times New Roman"/>
              </w:rPr>
              <w:t>Analyze a complex set of ideas or sequence of events and explain how specific individuals, ideas, or events interact and develop over the course of the text.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>
                <w:rPr>
                  <w:rStyle w:val="Hyperlink2"/>
                </w:rPr>
                <w:t xml:space="preserve">LAFS.1112.W.3.9 </w:t>
              </w:r>
            </w:hyperlink>
            <w:r>
              <w:t>Draw evidence from literary or informational texts to support analysis, reflection, and research.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>
                <w:rPr>
                  <w:rStyle w:val="Hyperlink0"/>
                  <w:rFonts w:ascii="Times New Roman" w:hAnsi="Times New Roman"/>
                </w:rPr>
                <w:t xml:space="preserve">LAFS.1112.W.2.4 </w:t>
              </w:r>
            </w:hyperlink>
            <w:r>
              <w:rPr>
                <w:rFonts w:ascii="Times New Roman" w:hAnsi="Times New Roman"/>
              </w:rPr>
              <w:t>Produce clear and coherent writing in which the development, organization, and style are appropriate to task, purpose, and audience.</w:t>
            </w: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>
                <w:rPr>
                  <w:rStyle w:val="Hyperlink0"/>
                  <w:rFonts w:ascii="Times New Roman" w:hAnsi="Times New Roman"/>
                </w:rPr>
                <w:t xml:space="preserve">LAFS.1112.W.3.9 </w:t>
              </w:r>
            </w:hyperlink>
            <w:r>
              <w:rPr>
                <w:rFonts w:ascii="Times New Roman" w:hAnsi="Times New Roman"/>
              </w:rPr>
              <w:t>Draw evidence</w:t>
            </w:r>
            <w:r>
              <w:rPr>
                <w:rFonts w:ascii="Times New Roman" w:hAnsi="Times New Roman"/>
              </w:rPr>
              <w:t xml:space="preserve"> from literary or informational texts to support analysis, reflection, and research.</w:t>
            </w:r>
          </w:p>
          <w:p w:rsidR="00A4078E" w:rsidRDefault="00D736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>
                <w:rPr>
                  <w:rStyle w:val="Hyperlink0"/>
                  <w:rFonts w:ascii="Times New Roman" w:hAnsi="Times New Roman"/>
                </w:rPr>
                <w:t xml:space="preserve">LAFS.6.L.1.2 </w:t>
              </w:r>
            </w:hyperlink>
            <w:r>
              <w:rPr>
                <w:rFonts w:ascii="Times New Roman" w:hAnsi="Times New Roman"/>
              </w:rPr>
              <w:t xml:space="preserve">Demonstrate command of the conventions of </w:t>
            </w:r>
            <w:proofErr w:type="gramStart"/>
            <w:r>
              <w:rPr>
                <w:rFonts w:ascii="Times New Roman" w:hAnsi="Times New Roman"/>
              </w:rPr>
              <w:t>standard</w:t>
            </w:r>
            <w:proofErr w:type="gramEnd"/>
            <w:r>
              <w:rPr>
                <w:rFonts w:ascii="Times New Roman" w:hAnsi="Times New Roman"/>
              </w:rPr>
              <w:t xml:space="preserve"> English capitalization, punctuatio</w:t>
            </w:r>
            <w:r>
              <w:rPr>
                <w:rFonts w:ascii="Times New Roman" w:hAnsi="Times New Roman"/>
              </w:rPr>
              <w:t>n, and spelling when writing. Use punctuation (commas, parentheses, dashes) to set off nonrestrictive/parenthetical elements. Spell correctly.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Example Texts*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Ten Steps to Improving College Reading Skills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Chapters 6 and 7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Writing With Confidence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The Struggle to Be an All-American Girl</w:t>
            </w:r>
            <w:r>
              <w:rPr>
                <w:rFonts w:ascii="Times New Roman" w:hAnsi="Times New Roman"/>
              </w:rPr>
              <w:t xml:space="preserve">”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Elizabeth Wong p.412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The Norton Reader  Anthology: Eleventh Edition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Get a Knife, Get a Dog, But Get Rid of Guns</w:t>
            </w:r>
            <w:r>
              <w:rPr>
                <w:rFonts w:ascii="Times New Roman" w:hAnsi="Times New Roman"/>
              </w:rPr>
              <w:t xml:space="preserve">”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Mary Ivins, p.405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HMH</w:t>
            </w:r>
            <w:r>
              <w:rPr>
                <w:rFonts w:ascii="Times New Roman" w:hAnsi="Times New Roman"/>
              </w:rPr>
              <w:t xml:space="preserve"> – ”</w:t>
            </w:r>
            <w:r>
              <w:rPr>
                <w:rFonts w:ascii="Times New Roman" w:hAnsi="Times New Roman"/>
              </w:rPr>
              <w:t>A Modest Proposal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Jonathan Swift, p 199;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A Right to Choose Single</w:t>
            </w:r>
            <w:r>
              <w:rPr>
                <w:rFonts w:ascii="Times New Roman" w:hAnsi="Times New Roman"/>
              </w:rPr>
              <w:t xml:space="preserve"> Sex Education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Kay Bailey Hutchinson and Barbara Mikulski, p.20c; from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Civil Disobedience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Henry David Thoreau, pg. 182;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Conducting Research, p R8-R11;  Delineate and Evaluate and Argument, p183; Close Reader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People and Peace not Profits and War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Shirl</w:t>
            </w:r>
            <w:r>
              <w:rPr>
                <w:rFonts w:ascii="Times New Roman" w:hAnsi="Times New Roman"/>
              </w:rPr>
              <w:t>ey Chisolm, p.39; Pink Think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, Lynn Peril p.33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Writing Support for Students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9" w:history="1">
              <w:r>
                <w:rPr>
                  <w:rStyle w:val="Hyperlink0"/>
                  <w:rFonts w:ascii="Times New Roman" w:hAnsi="Times New Roman"/>
                  <w:b/>
                  <w:bCs/>
                </w:rPr>
                <w:t>Proper Techniques for Research and Writing: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(Students can learn the steps for all aspects of </w:t>
            </w:r>
            <w:r>
              <w:rPr>
                <w:rFonts w:ascii="Times New Roman" w:hAnsi="Times New Roman"/>
              </w:rPr>
              <w:t>writing a research paper with a comprehensive list of links to various style guides</w:t>
            </w:r>
            <w:r>
              <w:rPr>
                <w:rFonts w:ascii="Times New Roman" w:hAnsi="Times New Roman"/>
                <w:b/>
                <w:bCs/>
              </w:rPr>
              <w:t>.)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0" w:history="1">
              <w:r>
                <w:rPr>
                  <w:rStyle w:val="Hyperlink3"/>
                  <w:rFonts w:eastAsia="Arial Unicode MS"/>
                </w:rPr>
                <w:t>MLA Documentation</w:t>
              </w:r>
            </w:hyperlink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Reading Support for Students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>
                <w:rPr>
                  <w:rStyle w:val="Hyperlink0"/>
                  <w:rFonts w:ascii="Times New Roman" w:hAnsi="Times New Roman"/>
                </w:rPr>
                <w:t>Close Encounters with Unfamiliar Words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(Students can learn several strategies for determining the meaning of unfamiliar words.)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Sample Writing Task:</w:t>
            </w:r>
          </w:p>
          <w:p w:rsidR="00A4078E" w:rsidRDefault="00D73646">
            <w:pPr>
              <w:pStyle w:val="Body"/>
              <w:spacing w:after="0" w:line="240" w:lineRule="auto"/>
            </w:pPr>
            <w:r>
              <w:rPr>
                <w:rFonts w:ascii="Cambria" w:hAnsi="Cambria"/>
              </w:rPr>
              <w:t xml:space="preserve">After reading example argumentative essays from student and </w:t>
            </w:r>
            <w:r>
              <w:rPr>
                <w:rFonts w:ascii="Cambria" w:hAnsi="Cambria"/>
              </w:rPr>
              <w:t>professional writing, write a well-developed essay in which you prove a claim/thesis using cited research for support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</w:tr>
      <w:tr w:rsidR="00A4078E">
        <w:trPr>
          <w:trHeight w:val="271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D7364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Quarter 3</w:t>
            </w: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Key Standards Covered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Examples of Resources</w:t>
            </w:r>
          </w:p>
        </w:tc>
      </w:tr>
      <w:tr w:rsidR="00A4078E">
        <w:trPr>
          <w:trHeight w:val="920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4078E" w:rsidRDefault="00D736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Students will be able to :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A4078E">
            <w:pPr>
              <w:pStyle w:val="ListParagraph"/>
              <w:spacing w:after="0" w:line="240" w:lineRule="auto"/>
              <w:ind w:left="765"/>
            </w:pPr>
          </w:p>
          <w:p w:rsidR="00A4078E" w:rsidRDefault="00D73646">
            <w:pPr>
              <w:pStyle w:val="ListParagraph"/>
              <w:spacing w:after="0" w:line="240" w:lineRule="auto"/>
              <w:ind w:left="765"/>
            </w:pPr>
            <w:hyperlink r:id="rId32" w:history="1">
              <w:r>
                <w:rPr>
                  <w:rStyle w:val="Hyperlink2"/>
                </w:rPr>
                <w:t xml:space="preserve">LAFS.1112.W.1.2 </w:t>
              </w:r>
            </w:hyperlink>
            <w:r>
              <w:t>Write informative/explanatory texts to examine and convey complex ideas, concepts, and information clearly and accurately through the effective selection, organization</w:t>
            </w:r>
            <w:r>
              <w:t xml:space="preserve">, and analysis of content. </w:t>
            </w:r>
          </w:p>
          <w:p w:rsidR="00A4078E" w:rsidRDefault="00A4078E">
            <w:pPr>
              <w:pStyle w:val="ListParagraph"/>
              <w:spacing w:after="0" w:line="240" w:lineRule="auto"/>
              <w:ind w:left="765"/>
            </w:pPr>
          </w:p>
          <w:p w:rsidR="00A4078E" w:rsidRDefault="00D73646">
            <w:pPr>
              <w:pStyle w:val="ListParagraph"/>
              <w:spacing w:after="0" w:line="240" w:lineRule="auto"/>
              <w:ind w:left="765"/>
            </w:pPr>
            <w:hyperlink r:id="rId33" w:history="1">
              <w:r>
                <w:rPr>
                  <w:rStyle w:val="Hyperlink2"/>
                </w:rPr>
                <w:t xml:space="preserve">LAFS.1112.W.3.9 </w:t>
              </w:r>
            </w:hyperlink>
            <w:r>
              <w:t>Draw evidence from literary or informational texts to support analysis, reflection, and research. Apply grades 1112 Reading standards to l</w:t>
            </w:r>
            <w:r>
              <w:t>iterature.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>
                <w:rPr>
                  <w:rStyle w:val="Hyperlink0"/>
                  <w:rFonts w:ascii="Times New Roman" w:hAnsi="Times New Roman"/>
                </w:rPr>
                <w:t xml:space="preserve">LAFS.1112.L.1.2 </w:t>
              </w:r>
            </w:hyperlink>
            <w:r>
              <w:rPr>
                <w:rFonts w:ascii="Times New Roman" w:hAnsi="Times New Roman"/>
              </w:rPr>
              <w:t>Demonstrate command of the conventions of standard English capitalization, punctuation, and spelling when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5" w:history="1">
              <w:r>
                <w:rPr>
                  <w:rStyle w:val="Hyperlink0"/>
                  <w:rFonts w:ascii="Times New Roman" w:hAnsi="Times New Roman"/>
                </w:rPr>
                <w:t xml:space="preserve">LAFS.1112.L.3.6 </w:t>
              </w:r>
            </w:hyperlink>
            <w:r>
              <w:rPr>
                <w:rFonts w:ascii="Times New Roman" w:hAnsi="Times New Roman"/>
              </w:rPr>
              <w:t>Acquire and use accurately general academic and domain-specific words and phrases, sufficient for reading, writing, speaking, and listening at the college and career readiness level</w:t>
            </w:r>
            <w:proofErr w:type="gramStart"/>
            <w:r>
              <w:rPr>
                <w:rFonts w:ascii="Times New Roman" w:hAnsi="Times New Roman"/>
              </w:rPr>
              <w:t>;</w:t>
            </w:r>
            <w:proofErr w:type="gramEnd"/>
            <w:r>
              <w:rPr>
                <w:rFonts w:ascii="Times New Roman" w:hAnsi="Times New Roman"/>
              </w:rPr>
              <w:t xml:space="preserve"> demonstrate independence in gat</w:t>
            </w:r>
            <w:r>
              <w:rPr>
                <w:rFonts w:ascii="Times New Roman" w:hAnsi="Times New Roman"/>
              </w:rPr>
              <w:t xml:space="preserve">hering vocabulary knowledge when considering a word or phrase important to comprehension or expression. 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>
                <w:rPr>
                  <w:rStyle w:val="Hyperlink0"/>
                  <w:rFonts w:ascii="Times New Roman" w:hAnsi="Times New Roman"/>
                </w:rPr>
                <w:t xml:space="preserve">LAFS.1112.RI.1.1 </w:t>
              </w:r>
            </w:hyperlink>
            <w:r>
              <w:rPr>
                <w:rFonts w:ascii="Times New Roman" w:hAnsi="Times New Roman"/>
              </w:rPr>
              <w:t>Cite strong and thorough textual evidence to support analysi</w:t>
            </w:r>
            <w:r>
              <w:rPr>
                <w:rFonts w:ascii="Times New Roman" w:hAnsi="Times New Roman"/>
              </w:rPr>
              <w:t>s of what the text says explicitly as well as inferences drawn from the text, including determining where the text leaves matters uncertain.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>
                <w:rPr>
                  <w:rStyle w:val="Hyperlink0"/>
                  <w:rFonts w:ascii="Times New Roman" w:hAnsi="Times New Roman"/>
                </w:rPr>
                <w:t xml:space="preserve">LAFS.1112.RI.1.2 </w:t>
              </w:r>
            </w:hyperlink>
            <w:r>
              <w:rPr>
                <w:rFonts w:ascii="Times New Roman" w:hAnsi="Times New Roman"/>
              </w:rPr>
              <w:t>Determine two or more ce</w:t>
            </w:r>
            <w:r>
              <w:rPr>
                <w:rFonts w:ascii="Times New Roman" w:hAnsi="Times New Roman"/>
              </w:rPr>
              <w:t>ntral ideas of a text and analyze their development over the course of the text, including how they interact and build on one another to provide a complex analysis; provide an objective summary of the text.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>
                <w:rPr>
                  <w:rStyle w:val="Hyperlink0"/>
                  <w:rFonts w:ascii="Times New Roman" w:hAnsi="Times New Roman"/>
                </w:rPr>
                <w:t xml:space="preserve">LAFS.1112.RI.1.3 </w:t>
              </w:r>
            </w:hyperlink>
            <w:r>
              <w:rPr>
                <w:rFonts w:ascii="Times New Roman" w:hAnsi="Times New Roman"/>
              </w:rPr>
              <w:t>Analyze a complex set of ideas or sequence of events and explain how specific individuals, ideas, or events interact and develop over the course of the text.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>
                <w:rPr>
                  <w:rStyle w:val="Hyperlink2"/>
                </w:rPr>
                <w:t xml:space="preserve">LAFS.1112.W.3.9 </w:t>
              </w:r>
            </w:hyperlink>
            <w:r>
              <w:t>Draw evidence from literary or informational texts to support analysis, reflection, and research.</w:t>
            </w:r>
          </w:p>
          <w:p w:rsidR="00A4078E" w:rsidRDefault="00A4078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>
                <w:rPr>
                  <w:rStyle w:val="Hyperlink0"/>
                  <w:rFonts w:ascii="Times New Roman" w:hAnsi="Times New Roman"/>
                </w:rPr>
                <w:t xml:space="preserve">LAFS.1112.W.2.4 </w:t>
              </w:r>
            </w:hyperlink>
            <w:r>
              <w:rPr>
                <w:rFonts w:ascii="Times New Roman" w:hAnsi="Times New Roman"/>
              </w:rPr>
              <w:t>Produce clear and coherent writing</w:t>
            </w:r>
            <w:r>
              <w:rPr>
                <w:rFonts w:ascii="Times New Roman" w:hAnsi="Times New Roman"/>
              </w:rPr>
              <w:t xml:space="preserve"> in which the development, organization, and style are appropriate to task, purpose, and audience.</w:t>
            </w: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>
                <w:rPr>
                  <w:rStyle w:val="Hyperlink0"/>
                  <w:rFonts w:ascii="Times New Roman" w:hAnsi="Times New Roman"/>
                </w:rPr>
                <w:t xml:space="preserve">LAFS.1112.W.3.9 </w:t>
              </w:r>
            </w:hyperlink>
            <w:r>
              <w:rPr>
                <w:rFonts w:ascii="Times New Roman" w:hAnsi="Times New Roman"/>
              </w:rPr>
              <w:t>Draw evidence from literary or informational texts to support analys</w:t>
            </w:r>
            <w:r>
              <w:rPr>
                <w:rFonts w:ascii="Times New Roman" w:hAnsi="Times New Roman"/>
              </w:rPr>
              <w:t>is, reflection, and research.</w:t>
            </w:r>
          </w:p>
          <w:p w:rsidR="00A4078E" w:rsidRDefault="00A4078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A4078E" w:rsidRDefault="00D736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>
                <w:rPr>
                  <w:rStyle w:val="Hyperlink0"/>
                  <w:rFonts w:ascii="Times New Roman" w:hAnsi="Times New Roman"/>
                </w:rPr>
                <w:t xml:space="preserve">LAFS.6.L.1.2 </w:t>
              </w:r>
            </w:hyperlink>
            <w:r>
              <w:rPr>
                <w:rFonts w:ascii="Times New Roman" w:hAnsi="Times New Roman"/>
              </w:rPr>
              <w:t xml:space="preserve">Demonstrate command of the conventions of </w:t>
            </w:r>
            <w:proofErr w:type="gramStart"/>
            <w:r>
              <w:rPr>
                <w:rFonts w:ascii="Times New Roman" w:hAnsi="Times New Roman"/>
              </w:rPr>
              <w:t>standard</w:t>
            </w:r>
            <w:proofErr w:type="gramEnd"/>
            <w:r>
              <w:rPr>
                <w:rFonts w:ascii="Times New Roman" w:hAnsi="Times New Roman"/>
              </w:rPr>
              <w:t xml:space="preserve"> English capitalization, punctuation, and spelling when writing. Use punctuation (commas,</w:t>
            </w:r>
            <w:r>
              <w:rPr>
                <w:rFonts w:ascii="Times New Roman" w:hAnsi="Times New Roman"/>
              </w:rPr>
              <w:t xml:space="preserve"> parentheses, dashes) to set off nonrestrictive/parenthetical elements. Spell correctly.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Example Texts*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Compare/Contrast </w:t>
            </w:r>
            <w:r>
              <w:rPr>
                <w:rFonts w:ascii="Times New Roman" w:hAnsi="Times New Roman"/>
                <w:b/>
                <w:bCs/>
              </w:rPr>
              <w:t>–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Writing With Confidence </w:t>
            </w:r>
            <w:r>
              <w:rPr>
                <w:rFonts w:ascii="Times New Roman" w:hAnsi="Times New Roman"/>
              </w:rPr>
              <w:t xml:space="preserve"> -  Unit IV Ch. 24 p. 275, 279, 405, 416, 417, 421, 428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HMH</w:t>
            </w:r>
            <w:r>
              <w:rPr>
                <w:rFonts w:ascii="Times New Roman" w:hAnsi="Times New Roman"/>
              </w:rPr>
              <w:t xml:space="preserve"> – “</w:t>
            </w:r>
            <w:r>
              <w:rPr>
                <w:rFonts w:ascii="Times New Roman" w:hAnsi="Times New Roman"/>
              </w:rPr>
              <w:t>Drama Ile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by Eugene O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Neil, p. 47;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Cause &amp; Effect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Writing With Confidence</w:t>
            </w:r>
            <w:r>
              <w:rPr>
                <w:rFonts w:ascii="Times New Roman" w:hAnsi="Times New Roman"/>
              </w:rPr>
              <w:t xml:space="preserve"> -Unit IV Ch. 22p. 262, 265, 412, 419, 424, 432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Ten Steps to Improving College Reading Skills</w:t>
            </w:r>
            <w:r>
              <w:rPr>
                <w:rFonts w:ascii="Times New Roman" w:hAnsi="Times New Roman"/>
              </w:rPr>
              <w:t xml:space="preserve"> Chapters 8, 9, and 107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Writing With Confidence 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Diving the Strange Eating Habits of Kids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p.419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Running with Walker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Robert Hughes p.424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The Norton Reader Anthology: Twelfth Edition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Thank God for the Atom Bomb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Paul </w:t>
            </w:r>
            <w:proofErr w:type="spellStart"/>
            <w:r>
              <w:rPr>
                <w:rFonts w:ascii="Times New Roman" w:hAnsi="Times New Roman"/>
              </w:rPr>
              <w:t>Fussell</w:t>
            </w:r>
            <w:proofErr w:type="spellEnd"/>
            <w:r>
              <w:rPr>
                <w:rFonts w:ascii="Times New Roman" w:hAnsi="Times New Roman"/>
              </w:rPr>
              <w:t xml:space="preserve"> p.763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“</w:t>
            </w:r>
            <w:r>
              <w:rPr>
                <w:rFonts w:ascii="Times New Roman" w:hAnsi="Times New Roman"/>
              </w:rPr>
              <w:t>A Modest Proposal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Jonathan Swift p.858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Articles from The Onion or other sources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Ten Steps to Improving College Reading Skills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hapters 4 and 5 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Writing Support for Students: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 w:color="0563C1"/>
              </w:rPr>
            </w:pPr>
            <w:hyperlink r:id="rId43" w:history="1">
              <w:r>
                <w:rPr>
                  <w:rStyle w:val="Hyperlink0"/>
                  <w:rFonts w:ascii="Times New Roman" w:hAnsi="Times New Roman"/>
                </w:rPr>
                <w:t xml:space="preserve">Cause and Effect in the Deep, Blue Sea: </w:t>
              </w:r>
            </w:hyperlink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(Students can learn to look for the cause, or reason for </w:t>
            </w:r>
            <w:proofErr w:type="gramStart"/>
            <w:r>
              <w:rPr>
                <w:rFonts w:ascii="Times New Roman" w:hAnsi="Times New Roman"/>
              </w:rPr>
              <w:t>that things</w:t>
            </w:r>
            <w:proofErr w:type="gramEnd"/>
            <w:r>
              <w:rPr>
                <w:rFonts w:ascii="Times New Roman" w:hAnsi="Times New Roman"/>
              </w:rPr>
              <w:t xml:space="preserve"> happen.)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Sample Writing Task:</w:t>
            </w:r>
          </w:p>
          <w:p w:rsidR="00A4078E" w:rsidRDefault="00D7364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Based on what you learned from reading and discussing the anchor texts from this quarter, write an essay that analyzes a cause and effect relationship either in a text or from your personal life experience. </w:t>
            </w:r>
          </w:p>
        </w:tc>
      </w:tr>
      <w:tr w:rsidR="00A4078E">
        <w:trPr>
          <w:trHeight w:val="271"/>
        </w:trPr>
        <w:tc>
          <w:tcPr>
            <w:tcW w:w="2220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Quarter 4</w:t>
            </w:r>
          </w:p>
          <w:p w:rsidR="00A4078E" w:rsidRDefault="00A4078E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56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Key Standards </w:t>
            </w:r>
            <w:r>
              <w:rPr>
                <w:rFonts w:ascii="Times New Roman" w:hAnsi="Times New Roman"/>
                <w:b/>
                <w:bCs/>
              </w:rPr>
              <w:t>Covered</w:t>
            </w:r>
          </w:p>
        </w:tc>
        <w:tc>
          <w:tcPr>
            <w:tcW w:w="3120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78E" w:rsidRDefault="00D7364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Examples of Resources</w:t>
            </w:r>
          </w:p>
        </w:tc>
      </w:tr>
      <w:tr w:rsidR="00A4078E">
        <w:trPr>
          <w:trHeight w:val="9200"/>
        </w:trPr>
        <w:tc>
          <w:tcPr>
            <w:tcW w:w="2220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8E" w:rsidRDefault="00A4078E"/>
        </w:tc>
        <w:tc>
          <w:tcPr>
            <w:tcW w:w="7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r:id="rId44" w:history="1">
              <w:r>
                <w:rPr>
                  <w:rStyle w:val="Hyperlink0"/>
                  <w:rFonts w:ascii="Times New Roman" w:hAnsi="Times New Roman"/>
                </w:rPr>
                <w:t xml:space="preserve">LAFS.1112.RI.4.10 </w:t>
              </w:r>
            </w:hyperlink>
            <w:r>
              <w:rPr>
                <w:rFonts w:ascii="Times New Roman" w:hAnsi="Times New Roman"/>
              </w:rPr>
              <w:t xml:space="preserve"> By the end of grade </w:t>
            </w:r>
            <w:proofErr w:type="gramStart"/>
            <w:r>
              <w:rPr>
                <w:rFonts w:ascii="Times New Roman" w:hAnsi="Times New Roman"/>
              </w:rPr>
              <w:t>12,</w:t>
            </w:r>
            <w:proofErr w:type="gramEnd"/>
            <w:r>
              <w:rPr>
                <w:rFonts w:ascii="Times New Roman" w:hAnsi="Times New Roman"/>
              </w:rPr>
              <w:t xml:space="preserve"> read and comprehend literary nonfiction at the high end of the grades 11 independently and proficiently.</w:t>
            </w:r>
          </w:p>
          <w:p w:rsidR="00A4078E" w:rsidRDefault="00A4078E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ind w:left="720"/>
            </w:pPr>
            <w:hyperlink r:id="rId45" w:history="1">
              <w:r>
                <w:rPr>
                  <w:rStyle w:val="Hyperlink2"/>
                </w:rPr>
                <w:t xml:space="preserve">LAFS.1112.L.1.2 </w:t>
              </w:r>
            </w:hyperlink>
            <w:r>
              <w:t>Demonstrate command of the conventions of standard English capitalization, punctuation, and spelling when writing. Observe hyphenation conventions. Spell correctly.</w:t>
            </w:r>
          </w:p>
          <w:p w:rsidR="00A4078E" w:rsidRDefault="00A4078E">
            <w:pPr>
              <w:pStyle w:val="Body"/>
              <w:spacing w:after="0" w:line="240" w:lineRule="auto"/>
              <w:ind w:left="720"/>
            </w:pPr>
          </w:p>
          <w:p w:rsidR="00A4078E" w:rsidRDefault="00D73646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r:id="rId46" w:history="1">
              <w:r>
                <w:rPr>
                  <w:rStyle w:val="Hyperlink0"/>
                  <w:rFonts w:ascii="Times New Roman" w:hAnsi="Times New Roman"/>
                </w:rPr>
                <w:t xml:space="preserve">LAFS.1112.SL.1.1 </w:t>
              </w:r>
            </w:hyperlink>
            <w:r>
              <w:rPr>
                <w:rFonts w:ascii="Times New Roman" w:hAnsi="Times New Roman"/>
              </w:rPr>
              <w:t>Initiate and participate effectively in a range of collaborative discussions (one-on-one, in groups, and teacher-led) with diverse partners on grades 1112 topics, text</w:t>
            </w:r>
            <w:r>
              <w:rPr>
                <w:rFonts w:ascii="Times New Roman" w:hAnsi="Times New Roman"/>
              </w:rPr>
              <w:t>s, and issues, building on others ideas and expressing their own clearly and persuasively.</w:t>
            </w:r>
          </w:p>
          <w:p w:rsidR="00A4078E" w:rsidRDefault="00A4078E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r:id="rId47" w:history="1">
              <w:r>
                <w:rPr>
                  <w:rStyle w:val="Hyperlink0"/>
                  <w:rFonts w:ascii="Times New Roman" w:hAnsi="Times New Roman"/>
                </w:rPr>
                <w:t xml:space="preserve">LAFS.1112.SL.1.2 </w:t>
              </w:r>
            </w:hyperlink>
            <w:r>
              <w:rPr>
                <w:rFonts w:ascii="Times New Roman" w:hAnsi="Times New Roman"/>
              </w:rPr>
              <w:t>Integrate multiple sources of information presented in diverse formats and</w:t>
            </w:r>
            <w:r>
              <w:rPr>
                <w:rFonts w:ascii="Times New Roman" w:hAnsi="Times New Roman"/>
              </w:rPr>
              <w:t xml:space="preserve"> media (e.g., visually, quantitatively, orally) in order to make informed decisions and solve problems, evaluating the credibility and accuracy of each source and noting any discrepancies among the data.</w:t>
            </w:r>
          </w:p>
          <w:p w:rsidR="00A4078E" w:rsidRDefault="00A4078E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hyperlink r:id="rId48" w:history="1">
              <w:r>
                <w:rPr>
                  <w:rStyle w:val="Hyperlink0"/>
                  <w:rFonts w:ascii="Times New Roman" w:hAnsi="Times New Roman"/>
                </w:rPr>
                <w:t xml:space="preserve">LAFS.1112.SL.2.5 </w:t>
              </w:r>
            </w:hyperlink>
            <w:r>
              <w:rPr>
                <w:rFonts w:ascii="Times New Roman" w:hAnsi="Times New Roman"/>
              </w:rPr>
              <w:t>Make strategic use of digital media (e.g., textual, graphical, audio, visual, and interactive elements) in presentations to enhance understanding of findings, reasoning, and evidence and to add interest.</w:t>
            </w:r>
          </w:p>
          <w:p w:rsidR="00A4078E" w:rsidRDefault="00A4078E">
            <w:pPr>
              <w:pStyle w:val="Body"/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ind w:left="720"/>
            </w:pPr>
            <w:hyperlink r:id="rId49" w:history="1">
              <w:r>
                <w:rPr>
                  <w:rStyle w:val="Hyperlink2"/>
                </w:rPr>
                <w:t xml:space="preserve">LAFS.1112.W.1.2 </w:t>
              </w:r>
            </w:hyperlink>
            <w:r>
              <w:t>Write informative/explanatory texts to examine and convey complex ideas, concepts, and information clearly and accurately through the effective selection, organization, and analys</w:t>
            </w:r>
            <w:r>
              <w:t>is of content.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Example Text*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Process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Writing with Confidence</w:t>
            </w:r>
            <w:r>
              <w:rPr>
                <w:rFonts w:ascii="Times New Roman" w:hAnsi="Times New Roman"/>
                <w:b/>
                <w:bCs/>
              </w:rPr>
              <w:t xml:space="preserve">  - </w:t>
            </w:r>
            <w:r>
              <w:rPr>
                <w:rFonts w:ascii="Times New Roman" w:hAnsi="Times New Roman"/>
              </w:rPr>
              <w:t xml:space="preserve">Unit IV Ch. 21 p. 254, 258, 405, 407 ;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My Prison Studies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Malcolm X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with Alex Haley p.405 ;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How to Write with Style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Kurt Vonnegut p.407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The Norton Reader Anthology</w:t>
            </w:r>
            <w:r>
              <w:rPr>
                <w:rFonts w:ascii="Times New Roman" w:hAnsi="Times New Roman"/>
                <w:b/>
                <w:bCs/>
              </w:rPr>
              <w:t xml:space="preserve"> -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How to Write a </w:t>
            </w:r>
            <w:r>
              <w:rPr>
                <w:rFonts w:ascii="Times New Roman" w:hAnsi="Times New Roman"/>
              </w:rPr>
              <w:t>Letter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Garrison Keillor p.535;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How We Listen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Aaron Copeland p.1121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HMH</w:t>
            </w:r>
            <w:r>
              <w:rPr>
                <w:rFonts w:ascii="Times New Roman" w:hAnsi="Times New Roman"/>
              </w:rPr>
              <w:t xml:space="preserve"> – “</w:t>
            </w:r>
            <w:r>
              <w:rPr>
                <w:rFonts w:ascii="Times New Roman" w:hAnsi="Times New Roman"/>
              </w:rPr>
              <w:t>Don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t Eat Fortune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s Cookie</w:t>
            </w:r>
            <w:r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>Michael Lewis, p19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Writing Support for Students: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>
                <w:rPr>
                  <w:rStyle w:val="Hyperlink0"/>
                  <w:rFonts w:ascii="Times New Roman" w:hAnsi="Times New Roman"/>
                </w:rPr>
                <w:t>Purdue OWL: Personal Statem</w:t>
              </w:r>
              <w:r>
                <w:rPr>
                  <w:rStyle w:val="Hyperlink0"/>
                  <w:rFonts w:ascii="Times New Roman" w:hAnsi="Times New Roman"/>
                </w:rPr>
                <w:t>ent: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 this </w:t>
            </w:r>
            <w:proofErr w:type="spellStart"/>
            <w:r>
              <w:rPr>
                <w:rFonts w:ascii="Times New Roman" w:hAnsi="Times New Roman"/>
              </w:rPr>
              <w:t>vidcast</w:t>
            </w:r>
            <w:proofErr w:type="spellEnd"/>
            <w:r>
              <w:rPr>
                <w:rFonts w:ascii="Times New Roman" w:hAnsi="Times New Roman"/>
              </w:rPr>
              <w:t xml:space="preserve"> from the Purdue Online Writing Lab, students can learn how to write a personal statement for their college applications.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>
                <w:rPr>
                  <w:rStyle w:val="Hyperlink0"/>
                  <w:rFonts w:ascii="Times New Roman" w:hAnsi="Times New Roman"/>
                </w:rPr>
                <w:t>Selling Yourself: Resume Generator: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4078E" w:rsidRDefault="00D73646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this tutorial from </w:t>
            </w:r>
            <w:proofErr w:type="gramStart"/>
            <w:r>
              <w:rPr>
                <w:sz w:val="22"/>
                <w:szCs w:val="22"/>
              </w:rPr>
              <w:t>ReadWriteThink.org</w:t>
            </w:r>
            <w:proofErr w:type="gramEnd"/>
            <w:r>
              <w:rPr>
                <w:sz w:val="22"/>
                <w:szCs w:val="22"/>
              </w:rPr>
              <w:t xml:space="preserve"> students can learn how to create a professional resume that showcases their talents and skills. </w:t>
            </w:r>
          </w:p>
          <w:p w:rsidR="00A4078E" w:rsidRDefault="00D73646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Sample Writing Task:</w:t>
            </w:r>
          </w:p>
          <w:p w:rsidR="00A4078E" w:rsidRDefault="00A4078E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4078E" w:rsidRDefault="00D7364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quarter offers opportunity for students to write practical writing forms such as resumes, college application essays, and formal business letters. In addition, students may write/present a process essay.</w:t>
            </w:r>
          </w:p>
        </w:tc>
      </w:tr>
    </w:tbl>
    <w:p w:rsidR="00A4078E" w:rsidRDefault="00A4078E">
      <w:pPr>
        <w:pStyle w:val="Body"/>
        <w:widowControl w:val="0"/>
        <w:spacing w:line="240" w:lineRule="auto"/>
      </w:pPr>
    </w:p>
    <w:sectPr w:rsidR="00A4078E">
      <w:headerReference w:type="default" r:id="rId52"/>
      <w:footerReference w:type="default" r:id="rId5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46" w:rsidRDefault="00D73646">
      <w:r>
        <w:separator/>
      </w:r>
    </w:p>
  </w:endnote>
  <w:endnote w:type="continuationSeparator" w:id="0">
    <w:p w:rsidR="00D73646" w:rsidRDefault="00D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8E" w:rsidRDefault="00A407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46" w:rsidRDefault="00D73646">
      <w:r>
        <w:separator/>
      </w:r>
    </w:p>
  </w:footnote>
  <w:footnote w:type="continuationSeparator" w:id="0">
    <w:p w:rsidR="00D73646" w:rsidRDefault="00D73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8E" w:rsidRDefault="00A407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577"/>
    <w:multiLevelType w:val="hybridMultilevel"/>
    <w:tmpl w:val="C016A1E2"/>
    <w:lvl w:ilvl="0" w:tplc="F650F3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9AAB2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26AA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4114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BB6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E269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EFF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AB2C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80B4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6579D7"/>
    <w:multiLevelType w:val="hybridMultilevel"/>
    <w:tmpl w:val="129A23B0"/>
    <w:lvl w:ilvl="0" w:tplc="91E6BB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2CD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6D6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EDF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05A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C9C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300F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8EE2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69B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A41234"/>
    <w:multiLevelType w:val="hybridMultilevel"/>
    <w:tmpl w:val="F4ECACDA"/>
    <w:lvl w:ilvl="0" w:tplc="96D62E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AC63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412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487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98C4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C02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A8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E18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0ED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F6F99"/>
    <w:multiLevelType w:val="hybridMultilevel"/>
    <w:tmpl w:val="1BB8A3B0"/>
    <w:lvl w:ilvl="0" w:tplc="40345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C16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4FB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ED5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E208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C477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C87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A2F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C98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E"/>
    <w:rsid w:val="0001486E"/>
    <w:rsid w:val="00A4078E"/>
    <w:rsid w:val="00D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75C53-FD9D-4043-B7F2-86B2E7D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outline w:val="0"/>
      <w:color w:val="BE6427"/>
      <w:u w:val="single" w:color="0563C1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alms.org/Public/PreviewStandard/Preview/6031" TargetMode="External"/><Relationship Id="rId18" Type="http://schemas.openxmlformats.org/officeDocument/2006/relationships/hyperlink" Target="http://www.cpalms.org/Public/PreviewResourceStudentTutorial/Preview/107331" TargetMode="External"/><Relationship Id="rId26" Type="http://schemas.openxmlformats.org/officeDocument/2006/relationships/hyperlink" Target="http://www.cpalms.org/Public/PreviewStandard/Preview/6083" TargetMode="External"/><Relationship Id="rId39" Type="http://schemas.openxmlformats.org/officeDocument/2006/relationships/hyperlink" Target="http://www.cpalms.org/Public/PreviewStandard/Preview/6088" TargetMode="External"/><Relationship Id="rId21" Type="http://schemas.openxmlformats.org/officeDocument/2006/relationships/hyperlink" Target="http://www.cpalms.org/Public/PreviewStandard/Preview/6149" TargetMode="External"/><Relationship Id="rId34" Type="http://schemas.openxmlformats.org/officeDocument/2006/relationships/hyperlink" Target="http://www.cpalms.org/Public/PreviewStandard/Preview/6145" TargetMode="External"/><Relationship Id="rId42" Type="http://schemas.openxmlformats.org/officeDocument/2006/relationships/hyperlink" Target="http://www.cpalms.org/Public/PreviewStandard/Preview/6121" TargetMode="External"/><Relationship Id="rId47" Type="http://schemas.openxmlformats.org/officeDocument/2006/relationships/hyperlink" Target="http://www.cpalms.org/Public/PreviewStandard/Preview/6115" TargetMode="External"/><Relationship Id="rId50" Type="http://schemas.openxmlformats.org/officeDocument/2006/relationships/hyperlink" Target="http://www.cpalms.org/Public/PreviewResourceUrl/Preview/8528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ldoe.org/core/fileparse.php/12087/urlt/G11-12_LanguageArts_Florida_Stand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088" TargetMode="External"/><Relationship Id="rId29" Type="http://schemas.openxmlformats.org/officeDocument/2006/relationships/hyperlink" Target="http://www.cpalms.org/Public/PreviewResourceUrl/Preview/75885" TargetMode="External"/><Relationship Id="rId11" Type="http://schemas.openxmlformats.org/officeDocument/2006/relationships/hyperlink" Target="http://www.cpalms.org/Public/PreviewStandard/Preview/6029" TargetMode="External"/><Relationship Id="rId24" Type="http://schemas.openxmlformats.org/officeDocument/2006/relationships/hyperlink" Target="http://www.cpalms.org/Public/PreviewStandard/Preview/6031" TargetMode="External"/><Relationship Id="rId32" Type="http://schemas.openxmlformats.org/officeDocument/2006/relationships/hyperlink" Target="http://www.cpalms.org/Public/PreviewStandard/Preview/6081" TargetMode="External"/><Relationship Id="rId37" Type="http://schemas.openxmlformats.org/officeDocument/2006/relationships/hyperlink" Target="http://www.cpalms.org/Public/PreviewStandard/Preview/6030" TargetMode="External"/><Relationship Id="rId40" Type="http://schemas.openxmlformats.org/officeDocument/2006/relationships/hyperlink" Target="http://www.cpalms.org/Public/PreviewStandard/Preview/6083" TargetMode="External"/><Relationship Id="rId45" Type="http://schemas.openxmlformats.org/officeDocument/2006/relationships/hyperlink" Target="http://www.cpalms.org/Public/PreviewStandard/Preview/6145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palms.org/Public/PreviewStandard/Preview/6149" TargetMode="External"/><Relationship Id="rId19" Type="http://schemas.openxmlformats.org/officeDocument/2006/relationships/hyperlink" Target="http://www.cpalms.org/Public/PreviewResourceUrl/Preview/25845" TargetMode="External"/><Relationship Id="rId31" Type="http://schemas.openxmlformats.org/officeDocument/2006/relationships/hyperlink" Target="http://www.floridastudents.org/PreviewResource/StudentResource/121977" TargetMode="External"/><Relationship Id="rId44" Type="http://schemas.openxmlformats.org/officeDocument/2006/relationships/hyperlink" Target="http://www.cpalms.org/Public/PreviewStandard/Preview/6038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6145" TargetMode="External"/><Relationship Id="rId14" Type="http://schemas.openxmlformats.org/officeDocument/2006/relationships/hyperlink" Target="http://www.cpalms.org/Public/PreviewStandard/Preview/6082" TargetMode="External"/><Relationship Id="rId22" Type="http://schemas.openxmlformats.org/officeDocument/2006/relationships/hyperlink" Target="http://www.cpalms.org/Public/PreviewStandard/Preview/6029" TargetMode="External"/><Relationship Id="rId27" Type="http://schemas.openxmlformats.org/officeDocument/2006/relationships/hyperlink" Target="http://www.cpalms.org/Public/PreviewStandard/Preview/6088" TargetMode="External"/><Relationship Id="rId30" Type="http://schemas.openxmlformats.org/officeDocument/2006/relationships/hyperlink" Target="https://prezi.com/zbyhzxcixxty/mla-format-documentation-guide/" TargetMode="External"/><Relationship Id="rId35" Type="http://schemas.openxmlformats.org/officeDocument/2006/relationships/hyperlink" Target="http://www.cpalms.org/Public/PreviewStandard/Preview/6149" TargetMode="External"/><Relationship Id="rId43" Type="http://schemas.openxmlformats.org/officeDocument/2006/relationships/hyperlink" Target="http://www.floridastudents.org/PreviewResource/StudentResource/121816" TargetMode="External"/><Relationship Id="rId48" Type="http://schemas.openxmlformats.org/officeDocument/2006/relationships/hyperlink" Target="http://www.cpalms.org/Public/PreviewStandard/Preview/6118" TargetMode="External"/><Relationship Id="rId8" Type="http://schemas.openxmlformats.org/officeDocument/2006/relationships/hyperlink" Target="https://www.teachingchannel.org/videos/analyzing-text-as-a-group" TargetMode="External"/><Relationship Id="rId51" Type="http://schemas.openxmlformats.org/officeDocument/2006/relationships/hyperlink" Target="http://www.cpalms.org/Public/PreviewResourceUrl/Preview/836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palms.org/Public/PreviewStandard/Preview/6030" TargetMode="External"/><Relationship Id="rId17" Type="http://schemas.openxmlformats.org/officeDocument/2006/relationships/hyperlink" Target="http://www.cpalms.org/Public/PreviewStandard/Preview/6121" TargetMode="External"/><Relationship Id="rId25" Type="http://schemas.openxmlformats.org/officeDocument/2006/relationships/hyperlink" Target="http://www.cpalms.org/Public/PreviewStandard/Preview/6088" TargetMode="External"/><Relationship Id="rId33" Type="http://schemas.openxmlformats.org/officeDocument/2006/relationships/hyperlink" Target="http://www.cpalms.org/Public/PreviewStandard/Preview/6088" TargetMode="External"/><Relationship Id="rId38" Type="http://schemas.openxmlformats.org/officeDocument/2006/relationships/hyperlink" Target="http://www.cpalms.org/Public/PreviewStandard/Preview/6031" TargetMode="External"/><Relationship Id="rId46" Type="http://schemas.openxmlformats.org/officeDocument/2006/relationships/hyperlink" Target="http://www.cpalms.org/Public/PreviewStandard/Preview/6114" TargetMode="External"/><Relationship Id="rId20" Type="http://schemas.openxmlformats.org/officeDocument/2006/relationships/hyperlink" Target="http://www.cpalms.org/Public/PreviewStandard/Preview/6145" TargetMode="External"/><Relationship Id="rId41" Type="http://schemas.openxmlformats.org/officeDocument/2006/relationships/hyperlink" Target="http://www.cpalms.org/Public/PreviewStandard/Preview/6088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palms.org/Public/PreviewStandard/Preview/6083" TargetMode="External"/><Relationship Id="rId23" Type="http://schemas.openxmlformats.org/officeDocument/2006/relationships/hyperlink" Target="http://www.cpalms.org/Public/PreviewStandard/Preview/6030" TargetMode="External"/><Relationship Id="rId28" Type="http://schemas.openxmlformats.org/officeDocument/2006/relationships/hyperlink" Target="http://www.cpalms.org/Public/PreviewStandard/Preview/6121" TargetMode="External"/><Relationship Id="rId36" Type="http://schemas.openxmlformats.org/officeDocument/2006/relationships/hyperlink" Target="http://www.cpalms.org/Public/PreviewStandard/Preview/6029" TargetMode="External"/><Relationship Id="rId49" Type="http://schemas.openxmlformats.org/officeDocument/2006/relationships/hyperlink" Target="http://www.cpalms.org/Public/PreviewStandard/Preview/608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M. Williams</dc:creator>
  <cp:lastModifiedBy>Tamara M. Williams</cp:lastModifiedBy>
  <cp:revision>2</cp:revision>
  <dcterms:created xsi:type="dcterms:W3CDTF">2020-06-24T19:07:00Z</dcterms:created>
  <dcterms:modified xsi:type="dcterms:W3CDTF">2020-06-24T19:07:00Z</dcterms:modified>
</cp:coreProperties>
</file>