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9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20"/>
        <w:gridCol w:w="7560"/>
        <w:gridCol w:w="3120"/>
      </w:tblGrid>
      <w:tr w:rsidR="006508B5">
        <w:trPr>
          <w:trHeight w:val="708"/>
        </w:trPr>
        <w:tc>
          <w:tcPr>
            <w:tcW w:w="12900" w:type="dxa"/>
            <w:gridSpan w:val="3"/>
            <w:tcBorders>
              <w:top w:val="single" w:sz="24" w:space="0" w:color="000000"/>
              <w:left w:val="single" w:sz="24" w:space="0" w:color="000000"/>
              <w:bottom w:val="single" w:sz="24" w:space="0" w:color="000000"/>
              <w:right w:val="single" w:sz="24" w:space="0" w:color="000000"/>
            </w:tcBorders>
            <w:shd w:val="clear" w:color="auto" w:fill="FFC000"/>
            <w:tcMar>
              <w:top w:w="80" w:type="dxa"/>
              <w:left w:w="80" w:type="dxa"/>
              <w:bottom w:w="80" w:type="dxa"/>
              <w:right w:w="80" w:type="dxa"/>
            </w:tcMar>
            <w:vAlign w:val="center"/>
          </w:tcPr>
          <w:p w:rsidR="006508B5" w:rsidRDefault="0048726C">
            <w:pPr>
              <w:pStyle w:val="Body"/>
              <w:jc w:val="center"/>
            </w:pPr>
            <w:r>
              <w:t>English II Language Arts (10</w:t>
            </w:r>
            <w:r>
              <w:rPr>
                <w:vertAlign w:val="superscript"/>
              </w:rPr>
              <w:t>th</w:t>
            </w:r>
            <w:r>
              <w:t xml:space="preserve"> grade)</w:t>
            </w:r>
          </w:p>
          <w:p w:rsidR="006508B5" w:rsidRDefault="0048726C">
            <w:pPr>
              <w:pStyle w:val="Body"/>
              <w:spacing w:after="0" w:line="240" w:lineRule="auto"/>
              <w:jc w:val="center"/>
            </w:pPr>
            <w:r>
              <w:t>Year at a Glance</w:t>
            </w:r>
          </w:p>
        </w:tc>
      </w:tr>
      <w:tr w:rsidR="006508B5">
        <w:trPr>
          <w:trHeight w:val="4401"/>
        </w:trPr>
        <w:tc>
          <w:tcPr>
            <w:tcW w:w="2220" w:type="dxa"/>
            <w:vMerge w:val="restart"/>
            <w:tcBorders>
              <w:top w:val="single" w:sz="24" w:space="0" w:color="000000"/>
              <w:left w:val="single" w:sz="2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6508B5" w:rsidRDefault="0048726C">
            <w:pPr>
              <w:pStyle w:val="Body"/>
              <w:spacing w:after="0" w:line="240" w:lineRule="auto"/>
              <w:jc w:val="center"/>
            </w:pPr>
            <w:r>
              <w:t>English II Language Arts(10</w:t>
            </w:r>
            <w:r>
              <w:rPr>
                <w:vertAlign w:val="superscript"/>
              </w:rPr>
              <w:t>th</w:t>
            </w:r>
            <w:r>
              <w:t xml:space="preserve"> Grade)  Language Arts </w:t>
            </w:r>
          </w:p>
          <w:p w:rsidR="006508B5" w:rsidRDefault="0048726C">
            <w:pPr>
              <w:pStyle w:val="Body"/>
              <w:spacing w:after="0" w:line="240" w:lineRule="auto"/>
              <w:jc w:val="center"/>
            </w:pPr>
            <w:r>
              <w:t>Course Description to be covered over 4 quarters</w:t>
            </w:r>
          </w:p>
        </w:tc>
        <w:tc>
          <w:tcPr>
            <w:tcW w:w="7560" w:type="dxa"/>
            <w:vMerge w:val="restart"/>
            <w:tcBorders>
              <w:top w:val="single" w:sz="2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6508B5" w:rsidRDefault="0048726C">
            <w:pPr>
              <w:pStyle w:val="Body"/>
              <w:shd w:val="clear" w:color="auto" w:fill="FFFFFF"/>
              <w:spacing w:after="0" w:line="240" w:lineRule="auto"/>
              <w:jc w:val="center"/>
              <w:rPr>
                <w:color w:val="2D2D2D"/>
                <w:u w:color="2D2D2D"/>
              </w:rPr>
            </w:pPr>
            <w:r>
              <w:rPr>
                <w:color w:val="2D2D2D"/>
                <w:u w:color="2D2D2D"/>
              </w:rPr>
              <w:t>Course Description</w:t>
            </w:r>
          </w:p>
          <w:p w:rsidR="006508B5" w:rsidRDefault="0048726C">
            <w:pPr>
              <w:pStyle w:val="Body"/>
              <w:spacing w:after="240" w:line="240" w:lineRule="auto"/>
            </w:pPr>
            <w:r>
              <w:t xml:space="preserve">The purpose of this course is to provide grade 10 students, using texts of </w:t>
            </w:r>
            <w:r>
              <w:t>high complexity, integrated language arts study in reading, writing, speaking, listening, and language for college and career preparation and readiness. The content should include, but not be limited to, the following:</w:t>
            </w:r>
          </w:p>
          <w:p w:rsidR="006508B5" w:rsidRDefault="0048726C">
            <w:pPr>
              <w:pStyle w:val="Body"/>
              <w:numPr>
                <w:ilvl w:val="0"/>
                <w:numId w:val="1"/>
              </w:numPr>
              <w:spacing w:after="0" w:line="240" w:lineRule="auto"/>
            </w:pPr>
            <w:r>
              <w:t>active reading of varied texts for wh</w:t>
            </w:r>
            <w:r>
              <w:t>at they say explicitly, as well as the logical inferences that can be drawn</w:t>
            </w:r>
          </w:p>
          <w:p w:rsidR="006508B5" w:rsidRDefault="0048726C">
            <w:pPr>
              <w:pStyle w:val="Body"/>
              <w:numPr>
                <w:ilvl w:val="0"/>
                <w:numId w:val="1"/>
              </w:numPr>
              <w:spacing w:after="0" w:line="240" w:lineRule="auto"/>
            </w:pPr>
            <w:r>
              <w:t xml:space="preserve">analysis of literature and informational texts from varied literary periods to examine: </w:t>
            </w:r>
          </w:p>
          <w:p w:rsidR="006508B5" w:rsidRDefault="0048726C">
            <w:pPr>
              <w:pStyle w:val="Body"/>
              <w:numPr>
                <w:ilvl w:val="1"/>
                <w:numId w:val="1"/>
              </w:numPr>
              <w:spacing w:after="0" w:line="240" w:lineRule="auto"/>
            </w:pPr>
            <w:r>
              <w:t>text craft and structure</w:t>
            </w:r>
          </w:p>
          <w:p w:rsidR="006508B5" w:rsidRDefault="0048726C">
            <w:pPr>
              <w:pStyle w:val="Body"/>
              <w:numPr>
                <w:ilvl w:val="1"/>
                <w:numId w:val="1"/>
              </w:numPr>
              <w:spacing w:after="0" w:line="240" w:lineRule="auto"/>
            </w:pPr>
            <w:r>
              <w:t>elements of literature</w:t>
            </w:r>
          </w:p>
          <w:p w:rsidR="006508B5" w:rsidRDefault="0048726C">
            <w:pPr>
              <w:pStyle w:val="Body"/>
              <w:numPr>
                <w:ilvl w:val="1"/>
                <w:numId w:val="1"/>
              </w:numPr>
              <w:spacing w:after="0" w:line="240" w:lineRule="auto"/>
            </w:pPr>
            <w:r>
              <w:t xml:space="preserve">arguments and claims supported by textual </w:t>
            </w:r>
            <w:r>
              <w:t>evidence</w:t>
            </w:r>
          </w:p>
          <w:p w:rsidR="006508B5" w:rsidRDefault="0048726C">
            <w:pPr>
              <w:pStyle w:val="Body"/>
              <w:numPr>
                <w:ilvl w:val="1"/>
                <w:numId w:val="1"/>
              </w:numPr>
              <w:spacing w:after="0" w:line="240" w:lineRule="auto"/>
            </w:pPr>
            <w:r>
              <w:t>power and impact of language</w:t>
            </w:r>
          </w:p>
          <w:p w:rsidR="006508B5" w:rsidRDefault="0048726C">
            <w:pPr>
              <w:pStyle w:val="Body"/>
              <w:numPr>
                <w:ilvl w:val="1"/>
                <w:numId w:val="1"/>
              </w:numPr>
              <w:spacing w:after="0" w:line="240" w:lineRule="auto"/>
            </w:pPr>
            <w:r>
              <w:t>influence of history, culture, and setting on language</w:t>
            </w:r>
          </w:p>
          <w:p w:rsidR="006508B5" w:rsidRDefault="0048726C">
            <w:pPr>
              <w:pStyle w:val="Body"/>
              <w:numPr>
                <w:ilvl w:val="1"/>
                <w:numId w:val="1"/>
              </w:numPr>
              <w:spacing w:after="0" w:line="240" w:lineRule="auto"/>
            </w:pPr>
            <w:r>
              <w:t>personal critical and aesthetic response</w:t>
            </w:r>
          </w:p>
          <w:p w:rsidR="006508B5" w:rsidRDefault="0048726C">
            <w:pPr>
              <w:pStyle w:val="Body"/>
              <w:numPr>
                <w:ilvl w:val="0"/>
                <w:numId w:val="1"/>
              </w:numPr>
              <w:spacing w:after="0" w:line="240" w:lineRule="auto"/>
            </w:pPr>
            <w:r>
              <w:t xml:space="preserve">writing for varied purposes </w:t>
            </w:r>
          </w:p>
          <w:p w:rsidR="006508B5" w:rsidRDefault="0048726C">
            <w:pPr>
              <w:pStyle w:val="Body"/>
              <w:numPr>
                <w:ilvl w:val="1"/>
                <w:numId w:val="1"/>
              </w:numPr>
              <w:spacing w:after="0" w:line="240" w:lineRule="auto"/>
            </w:pPr>
            <w:r>
              <w:t>developing and supporting argumentative claims</w:t>
            </w:r>
          </w:p>
          <w:p w:rsidR="006508B5" w:rsidRDefault="0048726C">
            <w:pPr>
              <w:pStyle w:val="Body"/>
              <w:numPr>
                <w:ilvl w:val="1"/>
                <w:numId w:val="1"/>
              </w:numPr>
              <w:spacing w:after="0" w:line="240" w:lineRule="auto"/>
            </w:pPr>
            <w:r>
              <w:t>crafting coherent, supported informative/expos</w:t>
            </w:r>
            <w:r>
              <w:t>itory texts</w:t>
            </w:r>
          </w:p>
          <w:p w:rsidR="006508B5" w:rsidRDefault="0048726C">
            <w:pPr>
              <w:pStyle w:val="Body"/>
              <w:numPr>
                <w:ilvl w:val="1"/>
                <w:numId w:val="1"/>
              </w:numPr>
              <w:spacing w:after="0" w:line="240" w:lineRule="auto"/>
            </w:pPr>
            <w:r>
              <w:t>responding to literature for personal and analytical purposes</w:t>
            </w:r>
          </w:p>
          <w:p w:rsidR="006508B5" w:rsidRDefault="0048726C">
            <w:pPr>
              <w:pStyle w:val="Body"/>
              <w:numPr>
                <w:ilvl w:val="1"/>
                <w:numId w:val="1"/>
              </w:numPr>
              <w:spacing w:after="0" w:line="240" w:lineRule="auto"/>
            </w:pPr>
            <w:r>
              <w:t>writing narratives to develop real or imagined events</w:t>
            </w:r>
          </w:p>
          <w:p w:rsidR="006508B5" w:rsidRDefault="0048726C">
            <w:pPr>
              <w:pStyle w:val="Body"/>
              <w:numPr>
                <w:ilvl w:val="1"/>
                <w:numId w:val="1"/>
              </w:numPr>
              <w:spacing w:after="0" w:line="240" w:lineRule="auto"/>
            </w:pPr>
            <w:r>
              <w:t>writing to sources using text- based evidence and reasoning</w:t>
            </w:r>
          </w:p>
          <w:p w:rsidR="006508B5" w:rsidRDefault="0048726C">
            <w:pPr>
              <w:pStyle w:val="Body"/>
              <w:numPr>
                <w:ilvl w:val="1"/>
                <w:numId w:val="1"/>
              </w:numPr>
              <w:spacing w:after="0" w:line="240" w:lineRule="auto"/>
            </w:pPr>
            <w:r>
              <w:t>writing to sources using text- based evidence and reasoning</w:t>
            </w:r>
          </w:p>
          <w:p w:rsidR="006508B5" w:rsidRDefault="0048726C">
            <w:pPr>
              <w:pStyle w:val="Body"/>
              <w:numPr>
                <w:ilvl w:val="0"/>
                <w:numId w:val="1"/>
              </w:numPr>
              <w:spacing w:after="240" w:line="240" w:lineRule="auto"/>
            </w:pPr>
            <w:r>
              <w:t>effectiv</w:t>
            </w:r>
            <w:r>
              <w:t>e listening, speaking, and viewing strategies with emphasis on the use of evidence to support or refute a claim in multimedia presentations, class discussions, and extended text discussions</w:t>
            </w:r>
          </w:p>
          <w:p w:rsidR="006508B5" w:rsidRDefault="0048726C">
            <w:pPr>
              <w:pStyle w:val="Body"/>
              <w:numPr>
                <w:ilvl w:val="0"/>
                <w:numId w:val="1"/>
              </w:numPr>
              <w:spacing w:after="240" w:line="240" w:lineRule="auto"/>
            </w:pPr>
            <w:r>
              <w:t>collaboration amongst peers</w:t>
            </w:r>
          </w:p>
        </w:tc>
        <w:tc>
          <w:tcPr>
            <w:tcW w:w="3120" w:type="dxa"/>
            <w:tcBorders>
              <w:top w:val="single" w:sz="24" w:space="0" w:color="000000"/>
              <w:left w:val="single" w:sz="4" w:space="0" w:color="000000"/>
              <w:bottom w:val="nil"/>
              <w:right w:val="single" w:sz="24" w:space="0" w:color="000000"/>
            </w:tcBorders>
            <w:shd w:val="clear" w:color="auto" w:fill="F2F2F2"/>
            <w:tcMar>
              <w:top w:w="80" w:type="dxa"/>
              <w:left w:w="80" w:type="dxa"/>
              <w:bottom w:w="80" w:type="dxa"/>
              <w:right w:w="80" w:type="dxa"/>
            </w:tcMar>
            <w:vAlign w:val="center"/>
          </w:tcPr>
          <w:p w:rsidR="006508B5" w:rsidRDefault="0048726C">
            <w:pPr>
              <w:pStyle w:val="Body"/>
              <w:spacing w:after="0" w:line="240" w:lineRule="auto"/>
              <w:jc w:val="center"/>
              <w:rPr>
                <w:u w:val="single"/>
              </w:rPr>
            </w:pPr>
            <w:r>
              <w:rPr>
                <w:u w:val="single"/>
              </w:rPr>
              <w:t>Family Resources</w:t>
            </w:r>
          </w:p>
          <w:p w:rsidR="006508B5" w:rsidRDefault="006508B5">
            <w:pPr>
              <w:pStyle w:val="Body"/>
              <w:spacing w:after="0" w:line="240" w:lineRule="auto"/>
            </w:pPr>
          </w:p>
          <w:p w:rsidR="006508B5" w:rsidRDefault="0048726C">
            <w:pPr>
              <w:pStyle w:val="Body"/>
              <w:spacing w:after="0" w:line="240" w:lineRule="auto"/>
              <w:rPr>
                <w:color w:val="0563C1"/>
                <w:u w:val="single" w:color="0563C1"/>
              </w:rPr>
            </w:pPr>
            <w:hyperlink r:id="rId7" w:history="1">
              <w:r>
                <w:rPr>
                  <w:rStyle w:val="Hyperlink0"/>
                </w:rPr>
                <w:t xml:space="preserve">Language Arts Florida Standards Grade 10 </w:t>
              </w:r>
            </w:hyperlink>
          </w:p>
          <w:p w:rsidR="006508B5" w:rsidRDefault="006508B5">
            <w:pPr>
              <w:pStyle w:val="Body"/>
              <w:spacing w:after="0" w:line="240" w:lineRule="auto"/>
            </w:pPr>
          </w:p>
          <w:p w:rsidR="006508B5" w:rsidRDefault="006508B5">
            <w:pPr>
              <w:pStyle w:val="Body"/>
              <w:spacing w:after="0" w:line="240" w:lineRule="auto"/>
              <w:jc w:val="both"/>
              <w:rPr>
                <w:color w:val="0070C0"/>
                <w:u w:color="0070C0"/>
              </w:rPr>
            </w:pPr>
          </w:p>
          <w:p w:rsidR="006508B5" w:rsidRDefault="0048726C">
            <w:pPr>
              <w:pStyle w:val="Body"/>
              <w:spacing w:after="0" w:line="240" w:lineRule="auto"/>
              <w:jc w:val="both"/>
              <w:rPr>
                <w:color w:val="0563C1"/>
                <w:u w:val="single" w:color="0563C1"/>
              </w:rPr>
            </w:pPr>
            <w:hyperlink r:id="rId8" w:history="1">
              <w:r>
                <w:rPr>
                  <w:rStyle w:val="Hyperlink0"/>
                </w:rPr>
                <w:t>What Is Text Based Talk?</w:t>
              </w:r>
            </w:hyperlink>
          </w:p>
          <w:p w:rsidR="006508B5" w:rsidRDefault="006508B5">
            <w:pPr>
              <w:pStyle w:val="Body"/>
              <w:spacing w:after="0" w:line="240" w:lineRule="auto"/>
            </w:pPr>
          </w:p>
          <w:p w:rsidR="006508B5" w:rsidRDefault="006508B5">
            <w:pPr>
              <w:pStyle w:val="Body"/>
              <w:spacing w:after="0" w:line="240" w:lineRule="auto"/>
              <w:jc w:val="center"/>
            </w:pPr>
          </w:p>
          <w:p w:rsidR="006508B5" w:rsidRDefault="0048726C">
            <w:pPr>
              <w:pStyle w:val="Body"/>
              <w:spacing w:after="0" w:line="240" w:lineRule="auto"/>
            </w:pPr>
            <w:r>
              <w:rPr>
                <w:i/>
                <w:iCs/>
                <w:color w:val="FF0000"/>
                <w:u w:color="FF0000"/>
              </w:rPr>
              <w:t xml:space="preserve">Please note that short and extended informational and argumentative writing tasks </w:t>
            </w:r>
            <w:proofErr w:type="gramStart"/>
            <w:r>
              <w:rPr>
                <w:i/>
                <w:iCs/>
                <w:color w:val="FF0000"/>
                <w:u w:color="FF0000"/>
              </w:rPr>
              <w:t>will be embedded</w:t>
            </w:r>
            <w:proofErr w:type="gramEnd"/>
            <w:r>
              <w:rPr>
                <w:i/>
                <w:iCs/>
                <w:color w:val="FF0000"/>
                <w:u w:color="FF0000"/>
              </w:rPr>
              <w:t xml:space="preserve"> into reading responses to support students as they</w:t>
            </w:r>
            <w:r>
              <w:rPr>
                <w:i/>
                <w:iCs/>
                <w:color w:val="FF0000"/>
                <w:u w:color="FF0000"/>
              </w:rPr>
              <w:t xml:space="preserve"> progress towards the FSA Writing Assessment.</w:t>
            </w:r>
          </w:p>
        </w:tc>
      </w:tr>
      <w:tr w:rsidR="006508B5">
        <w:trPr>
          <w:trHeight w:val="320"/>
        </w:trPr>
        <w:tc>
          <w:tcPr>
            <w:tcW w:w="2220" w:type="dxa"/>
            <w:vMerge/>
            <w:tcBorders>
              <w:top w:val="single" w:sz="24" w:space="0" w:color="000000"/>
              <w:left w:val="single" w:sz="24" w:space="0" w:color="000000"/>
              <w:bottom w:val="single" w:sz="4" w:space="0" w:color="000000"/>
              <w:right w:val="single" w:sz="4" w:space="0" w:color="000000"/>
            </w:tcBorders>
            <w:shd w:val="clear" w:color="auto" w:fill="F2F2F2"/>
          </w:tcPr>
          <w:p w:rsidR="006508B5" w:rsidRDefault="006508B5"/>
        </w:tc>
        <w:tc>
          <w:tcPr>
            <w:tcW w:w="7560" w:type="dxa"/>
            <w:vMerge/>
            <w:tcBorders>
              <w:top w:val="single" w:sz="24" w:space="0" w:color="000000"/>
              <w:left w:val="single" w:sz="4" w:space="0" w:color="000000"/>
              <w:bottom w:val="single" w:sz="4" w:space="0" w:color="000000"/>
              <w:right w:val="single" w:sz="4" w:space="0" w:color="000000"/>
            </w:tcBorders>
            <w:shd w:val="clear" w:color="auto" w:fill="F2F2F2"/>
          </w:tcPr>
          <w:p w:rsidR="006508B5" w:rsidRDefault="006508B5"/>
        </w:tc>
        <w:tc>
          <w:tcPr>
            <w:tcW w:w="3120" w:type="dxa"/>
            <w:tcBorders>
              <w:top w:val="nil"/>
              <w:left w:val="single" w:sz="4" w:space="0" w:color="000000"/>
              <w:bottom w:val="nil"/>
              <w:right w:val="single" w:sz="24" w:space="0" w:color="000000"/>
            </w:tcBorders>
            <w:shd w:val="clear" w:color="auto" w:fill="F2F2F2"/>
            <w:tcMar>
              <w:top w:w="80" w:type="dxa"/>
              <w:left w:w="80" w:type="dxa"/>
              <w:bottom w:w="80" w:type="dxa"/>
              <w:right w:w="80" w:type="dxa"/>
            </w:tcMar>
            <w:vAlign w:val="center"/>
          </w:tcPr>
          <w:p w:rsidR="006508B5" w:rsidRDefault="006508B5"/>
        </w:tc>
      </w:tr>
      <w:tr w:rsidR="006508B5">
        <w:trPr>
          <w:trHeight w:val="2291"/>
        </w:trPr>
        <w:tc>
          <w:tcPr>
            <w:tcW w:w="2220" w:type="dxa"/>
            <w:vMerge/>
            <w:tcBorders>
              <w:top w:val="single" w:sz="24" w:space="0" w:color="000000"/>
              <w:left w:val="single" w:sz="24" w:space="0" w:color="000000"/>
              <w:bottom w:val="single" w:sz="4" w:space="0" w:color="000000"/>
              <w:right w:val="single" w:sz="4" w:space="0" w:color="000000"/>
            </w:tcBorders>
            <w:shd w:val="clear" w:color="auto" w:fill="F2F2F2"/>
          </w:tcPr>
          <w:p w:rsidR="006508B5" w:rsidRDefault="006508B5"/>
        </w:tc>
        <w:tc>
          <w:tcPr>
            <w:tcW w:w="7560" w:type="dxa"/>
            <w:vMerge/>
            <w:tcBorders>
              <w:top w:val="single" w:sz="24" w:space="0" w:color="000000"/>
              <w:left w:val="single" w:sz="4" w:space="0" w:color="000000"/>
              <w:bottom w:val="single" w:sz="4" w:space="0" w:color="000000"/>
              <w:right w:val="single" w:sz="4" w:space="0" w:color="000000"/>
            </w:tcBorders>
            <w:shd w:val="clear" w:color="auto" w:fill="F2F2F2"/>
          </w:tcPr>
          <w:p w:rsidR="006508B5" w:rsidRDefault="006508B5"/>
        </w:tc>
        <w:tc>
          <w:tcPr>
            <w:tcW w:w="3120" w:type="dxa"/>
            <w:tcBorders>
              <w:top w:val="nil"/>
              <w:left w:val="single" w:sz="4" w:space="0" w:color="000000"/>
              <w:bottom w:val="nil"/>
              <w:right w:val="single" w:sz="24" w:space="0" w:color="000000"/>
            </w:tcBorders>
            <w:shd w:val="clear" w:color="auto" w:fill="F2F2F2"/>
            <w:tcMar>
              <w:top w:w="80" w:type="dxa"/>
              <w:left w:w="80" w:type="dxa"/>
              <w:bottom w:w="80" w:type="dxa"/>
              <w:right w:w="80" w:type="dxa"/>
            </w:tcMar>
            <w:vAlign w:val="center"/>
          </w:tcPr>
          <w:p w:rsidR="006508B5" w:rsidRDefault="0048726C">
            <w:pPr>
              <w:pStyle w:val="Body"/>
              <w:spacing w:after="0" w:line="240" w:lineRule="auto"/>
            </w:pPr>
            <w:r>
              <w:rPr>
                <w:i/>
                <w:iCs/>
                <w:color w:val="FF0000"/>
                <w:u w:color="FF0000"/>
              </w:rPr>
              <w:t xml:space="preserve">Unlike most other subjects, the English Language Arts standards </w:t>
            </w:r>
            <w:proofErr w:type="gramStart"/>
            <w:r>
              <w:rPr>
                <w:i/>
                <w:iCs/>
                <w:color w:val="FF0000"/>
                <w:u w:color="FF0000"/>
              </w:rPr>
              <w:t>are not taught</w:t>
            </w:r>
            <w:proofErr w:type="gramEnd"/>
            <w:r>
              <w:rPr>
                <w:i/>
                <w:iCs/>
                <w:color w:val="FF0000"/>
                <w:u w:color="FF0000"/>
              </w:rPr>
              <w:t xml:space="preserve"> in isolation or sequential order. This means that standards spiral in and out of each lesson, </w:t>
            </w:r>
            <w:proofErr w:type="gramStart"/>
            <w:r>
              <w:rPr>
                <w:i/>
                <w:iCs/>
                <w:color w:val="FF0000"/>
                <w:u w:color="FF0000"/>
              </w:rPr>
              <w:t>are paired</w:t>
            </w:r>
            <w:proofErr w:type="gramEnd"/>
            <w:r>
              <w:rPr>
                <w:i/>
                <w:iCs/>
                <w:color w:val="FF0000"/>
                <w:u w:color="FF0000"/>
              </w:rPr>
              <w:t xml:space="preserve"> strategically, and </w:t>
            </w:r>
            <w:r>
              <w:rPr>
                <w:i/>
                <w:iCs/>
                <w:color w:val="FF0000"/>
                <w:u w:color="FF0000"/>
              </w:rPr>
              <w:t>will repeat throughout the year depending on the theme, task, and text.</w:t>
            </w:r>
          </w:p>
        </w:tc>
      </w:tr>
      <w:tr w:rsidR="006508B5">
        <w:trPr>
          <w:trHeight w:val="320"/>
        </w:trPr>
        <w:tc>
          <w:tcPr>
            <w:tcW w:w="2220" w:type="dxa"/>
            <w:vMerge/>
            <w:tcBorders>
              <w:top w:val="single" w:sz="24" w:space="0" w:color="000000"/>
              <w:left w:val="single" w:sz="24" w:space="0" w:color="000000"/>
              <w:bottom w:val="single" w:sz="4" w:space="0" w:color="000000"/>
              <w:right w:val="single" w:sz="4" w:space="0" w:color="000000"/>
            </w:tcBorders>
            <w:shd w:val="clear" w:color="auto" w:fill="F2F2F2"/>
          </w:tcPr>
          <w:p w:rsidR="006508B5" w:rsidRDefault="006508B5"/>
        </w:tc>
        <w:tc>
          <w:tcPr>
            <w:tcW w:w="7560" w:type="dxa"/>
            <w:vMerge/>
            <w:tcBorders>
              <w:top w:val="single" w:sz="24" w:space="0" w:color="000000"/>
              <w:left w:val="single" w:sz="4" w:space="0" w:color="000000"/>
              <w:bottom w:val="single" w:sz="4" w:space="0" w:color="000000"/>
              <w:right w:val="single" w:sz="4" w:space="0" w:color="000000"/>
            </w:tcBorders>
            <w:shd w:val="clear" w:color="auto" w:fill="F2F2F2"/>
          </w:tcPr>
          <w:p w:rsidR="006508B5" w:rsidRDefault="006508B5"/>
        </w:tc>
        <w:tc>
          <w:tcPr>
            <w:tcW w:w="3120" w:type="dxa"/>
            <w:tcBorders>
              <w:top w:val="nil"/>
              <w:left w:val="single" w:sz="4" w:space="0" w:color="000000"/>
              <w:bottom w:val="single" w:sz="4" w:space="0" w:color="000000"/>
              <w:right w:val="single" w:sz="24" w:space="0" w:color="000000"/>
            </w:tcBorders>
            <w:shd w:val="clear" w:color="auto" w:fill="F2F2F2"/>
            <w:tcMar>
              <w:top w:w="80" w:type="dxa"/>
              <w:left w:w="80" w:type="dxa"/>
              <w:bottom w:w="80" w:type="dxa"/>
              <w:right w:w="80" w:type="dxa"/>
            </w:tcMar>
            <w:vAlign w:val="center"/>
          </w:tcPr>
          <w:p w:rsidR="006508B5" w:rsidRDefault="006508B5"/>
        </w:tc>
      </w:tr>
      <w:tr w:rsidR="006508B5">
        <w:trPr>
          <w:trHeight w:val="320"/>
        </w:trPr>
        <w:tc>
          <w:tcPr>
            <w:tcW w:w="2220" w:type="dxa"/>
            <w:tcBorders>
              <w:top w:val="single" w:sz="4" w:space="0" w:color="000000"/>
              <w:left w:val="single" w:sz="24" w:space="0" w:color="000000"/>
              <w:bottom w:val="single" w:sz="4" w:space="0" w:color="000000"/>
              <w:right w:val="single" w:sz="24" w:space="0" w:color="000000"/>
            </w:tcBorders>
            <w:shd w:val="clear" w:color="auto" w:fill="FFC000"/>
            <w:tcMar>
              <w:top w:w="80" w:type="dxa"/>
              <w:left w:w="80" w:type="dxa"/>
              <w:bottom w:w="80" w:type="dxa"/>
              <w:right w:w="80" w:type="dxa"/>
            </w:tcMar>
            <w:vAlign w:val="center"/>
          </w:tcPr>
          <w:p w:rsidR="006508B5" w:rsidRDefault="006508B5"/>
        </w:tc>
        <w:tc>
          <w:tcPr>
            <w:tcW w:w="7560" w:type="dxa"/>
            <w:tcBorders>
              <w:top w:val="single" w:sz="4" w:space="0" w:color="000000"/>
              <w:left w:val="single" w:sz="24" w:space="0" w:color="000000"/>
              <w:bottom w:val="single" w:sz="4" w:space="0" w:color="000000"/>
              <w:right w:val="single" w:sz="24" w:space="0" w:color="000000"/>
            </w:tcBorders>
            <w:shd w:val="clear" w:color="auto" w:fill="FFC000"/>
            <w:tcMar>
              <w:top w:w="80" w:type="dxa"/>
              <w:left w:w="80" w:type="dxa"/>
              <w:bottom w:w="80" w:type="dxa"/>
              <w:right w:w="80" w:type="dxa"/>
            </w:tcMar>
            <w:vAlign w:val="center"/>
          </w:tcPr>
          <w:p w:rsidR="006508B5" w:rsidRDefault="0048726C">
            <w:pPr>
              <w:pStyle w:val="Body"/>
              <w:spacing w:after="0" w:line="240" w:lineRule="auto"/>
              <w:jc w:val="center"/>
            </w:pPr>
            <w:r>
              <w:rPr>
                <w:b/>
                <w:bCs/>
              </w:rPr>
              <w:t>Key Standards Covered</w:t>
            </w:r>
          </w:p>
        </w:tc>
        <w:tc>
          <w:tcPr>
            <w:tcW w:w="3120" w:type="dxa"/>
            <w:tcBorders>
              <w:top w:val="single" w:sz="4" w:space="0" w:color="000000"/>
              <w:left w:val="single" w:sz="24" w:space="0" w:color="000000"/>
              <w:bottom w:val="single" w:sz="4" w:space="0" w:color="000000"/>
              <w:right w:val="single" w:sz="24" w:space="0" w:color="000000"/>
            </w:tcBorders>
            <w:shd w:val="clear" w:color="auto" w:fill="FFC000"/>
            <w:tcMar>
              <w:top w:w="80" w:type="dxa"/>
              <w:left w:w="80" w:type="dxa"/>
              <w:bottom w:w="80" w:type="dxa"/>
              <w:right w:w="80" w:type="dxa"/>
            </w:tcMar>
            <w:vAlign w:val="center"/>
          </w:tcPr>
          <w:p w:rsidR="006508B5" w:rsidRDefault="0048726C">
            <w:pPr>
              <w:pStyle w:val="Body"/>
              <w:spacing w:after="0" w:line="240" w:lineRule="auto"/>
              <w:jc w:val="center"/>
            </w:pPr>
            <w:r>
              <w:rPr>
                <w:b/>
                <w:bCs/>
              </w:rPr>
              <w:t>Examples of Resources</w:t>
            </w:r>
          </w:p>
        </w:tc>
      </w:tr>
      <w:tr w:rsidR="006508B5">
        <w:trPr>
          <w:trHeight w:val="344"/>
        </w:trPr>
        <w:tc>
          <w:tcPr>
            <w:tcW w:w="2220" w:type="dxa"/>
            <w:vMerge w:val="restart"/>
            <w:tcBorders>
              <w:top w:val="single" w:sz="4" w:space="0" w:color="000000"/>
              <w:left w:val="single" w:sz="24" w:space="0" w:color="000000"/>
              <w:bottom w:val="single" w:sz="24" w:space="0" w:color="000000"/>
              <w:right w:val="single" w:sz="4" w:space="0" w:color="000000"/>
            </w:tcBorders>
            <w:shd w:val="clear" w:color="auto" w:fill="auto"/>
            <w:tcMar>
              <w:top w:w="80" w:type="dxa"/>
              <w:left w:w="80" w:type="dxa"/>
              <w:bottom w:w="80" w:type="dxa"/>
              <w:right w:w="80" w:type="dxa"/>
            </w:tcMar>
            <w:vAlign w:val="center"/>
          </w:tcPr>
          <w:p w:rsidR="006508B5" w:rsidRDefault="0048726C">
            <w:pPr>
              <w:pStyle w:val="Body"/>
              <w:spacing w:after="0" w:line="240" w:lineRule="auto"/>
              <w:jc w:val="center"/>
              <w:rPr>
                <w:b/>
                <w:bCs/>
              </w:rPr>
            </w:pPr>
            <w:r>
              <w:rPr>
                <w:b/>
                <w:bCs/>
              </w:rPr>
              <w:t>Quarter 1</w:t>
            </w:r>
          </w:p>
          <w:p w:rsidR="006508B5" w:rsidRDefault="0048726C">
            <w:pPr>
              <w:pStyle w:val="Body"/>
              <w:spacing w:after="0" w:line="240" w:lineRule="auto"/>
              <w:jc w:val="center"/>
            </w:pPr>
            <w:r>
              <w:rPr>
                <w:b/>
                <w:bCs/>
              </w:rPr>
              <w:t>Aug 10 – Oct 12</w:t>
            </w:r>
          </w:p>
        </w:tc>
        <w:tc>
          <w:tcPr>
            <w:tcW w:w="7560" w:type="dxa"/>
            <w:vMerge w:val="restart"/>
            <w:tcBorders>
              <w:top w:val="single" w:sz="4" w:space="0" w:color="000000"/>
              <w:left w:val="single" w:sz="4" w:space="0" w:color="000000"/>
              <w:bottom w:val="single" w:sz="24" w:space="0" w:color="000000"/>
              <w:right w:val="single" w:sz="4" w:space="0" w:color="000000"/>
            </w:tcBorders>
            <w:shd w:val="clear" w:color="auto" w:fill="auto"/>
            <w:tcMar>
              <w:top w:w="80" w:type="dxa"/>
              <w:left w:w="800" w:type="dxa"/>
              <w:bottom w:w="80" w:type="dxa"/>
              <w:right w:w="80" w:type="dxa"/>
            </w:tcMar>
          </w:tcPr>
          <w:p w:rsidR="006508B5" w:rsidRDefault="0048726C">
            <w:pPr>
              <w:pStyle w:val="ListParagraph"/>
              <w:spacing w:after="0" w:line="240" w:lineRule="auto"/>
              <w:rPr>
                <w:b/>
                <w:bCs/>
              </w:rPr>
            </w:pPr>
            <w:r>
              <w:rPr>
                <w:b/>
                <w:bCs/>
              </w:rPr>
              <w:t>Students will be able to :</w:t>
            </w:r>
          </w:p>
          <w:p w:rsidR="006508B5" w:rsidRDefault="0048726C">
            <w:pPr>
              <w:pStyle w:val="Body"/>
              <w:numPr>
                <w:ilvl w:val="0"/>
                <w:numId w:val="2"/>
              </w:numPr>
              <w:spacing w:after="0" w:line="240" w:lineRule="auto"/>
            </w:pPr>
            <w:r>
              <w:t xml:space="preserve">Cite strong and thorough textual evidence to support analysis of what the text says explicitly as well as inferences drawn from the text. </w:t>
            </w:r>
            <w:hyperlink r:id="rId9" w:history="1">
              <w:r>
                <w:rPr>
                  <w:rStyle w:val="Hyperlink0"/>
                </w:rPr>
                <w:t xml:space="preserve">LAFS.910.RL.1.1 </w:t>
              </w:r>
            </w:hyperlink>
            <w:r>
              <w:t> </w:t>
            </w:r>
            <w:hyperlink r:id="rId10" w:history="1">
              <w:r>
                <w:rPr>
                  <w:rStyle w:val="Hyperlink0"/>
                </w:rPr>
                <w:t xml:space="preserve">LAFS.910.RI.1.1 </w:t>
              </w:r>
            </w:hyperlink>
          </w:p>
          <w:p w:rsidR="006508B5" w:rsidRDefault="006508B5">
            <w:pPr>
              <w:pStyle w:val="Body"/>
              <w:spacing w:after="0" w:line="240" w:lineRule="auto"/>
            </w:pPr>
          </w:p>
          <w:p w:rsidR="006508B5" w:rsidRDefault="0048726C">
            <w:pPr>
              <w:pStyle w:val="Body"/>
              <w:numPr>
                <w:ilvl w:val="0"/>
                <w:numId w:val="2"/>
              </w:numPr>
              <w:spacing w:after="0" w:line="240" w:lineRule="auto"/>
            </w:pPr>
            <w:r>
              <w:t>Determine a central idea of a text and analyze its development over the course of the text, including how it emerges and is shaped and refined by specific details; p</w:t>
            </w:r>
            <w:r>
              <w:t xml:space="preserve">rovide an objective summary of the text. </w:t>
            </w:r>
            <w:hyperlink r:id="rId11" w:history="1">
              <w:r>
                <w:rPr>
                  <w:rStyle w:val="Hyperlink0"/>
                </w:rPr>
                <w:t xml:space="preserve">LAFS.910.RI.1.2 </w:t>
              </w:r>
            </w:hyperlink>
            <w:r>
              <w:t xml:space="preserve">  </w:t>
            </w:r>
            <w:hyperlink r:id="rId12" w:history="1">
              <w:r>
                <w:rPr>
                  <w:rStyle w:val="Hyperlink0"/>
                </w:rPr>
                <w:t xml:space="preserve">LAFS.910.RL.1.2 </w:t>
              </w:r>
            </w:hyperlink>
            <w:r>
              <w:t> </w:t>
            </w:r>
          </w:p>
          <w:p w:rsidR="006508B5" w:rsidRDefault="006508B5">
            <w:pPr>
              <w:pStyle w:val="Body"/>
              <w:spacing w:after="0" w:line="240" w:lineRule="auto"/>
            </w:pPr>
          </w:p>
          <w:p w:rsidR="006508B5" w:rsidRDefault="0048726C">
            <w:pPr>
              <w:pStyle w:val="Body"/>
              <w:numPr>
                <w:ilvl w:val="0"/>
                <w:numId w:val="2"/>
              </w:numPr>
              <w:spacing w:after="0" w:line="240" w:lineRule="auto"/>
            </w:pPr>
            <w:r>
              <w:t xml:space="preserve">Analyze how complex characters develop over the course of a text, interact with other characters, and advance the plot or develop </w:t>
            </w:r>
            <w:proofErr w:type="gramStart"/>
            <w:r>
              <w:t>the theme and how the author unfolds an analysis or series of ideas or events</w:t>
            </w:r>
            <w:proofErr w:type="gramEnd"/>
            <w:r>
              <w:t xml:space="preserve">. </w:t>
            </w:r>
            <w:hyperlink r:id="rId13" w:history="1">
              <w:r>
                <w:rPr>
                  <w:rStyle w:val="Hyperlink0"/>
                </w:rPr>
                <w:t xml:space="preserve">LAFS.910.RL.1.3 </w:t>
              </w:r>
            </w:hyperlink>
            <w:r>
              <w:t xml:space="preserve"> </w:t>
            </w:r>
            <w:hyperlink r:id="rId14" w:history="1">
              <w:r>
                <w:rPr>
                  <w:rStyle w:val="Hyperlink0"/>
                </w:rPr>
                <w:t xml:space="preserve">LAFS.910.RI.1.3 </w:t>
              </w:r>
            </w:hyperlink>
            <w:r>
              <w:t> </w:t>
            </w:r>
          </w:p>
          <w:p w:rsidR="006508B5" w:rsidRDefault="006508B5">
            <w:pPr>
              <w:pStyle w:val="Body"/>
              <w:spacing w:after="0" w:line="240" w:lineRule="auto"/>
            </w:pPr>
          </w:p>
          <w:p w:rsidR="006508B5" w:rsidRDefault="0048726C">
            <w:pPr>
              <w:pStyle w:val="Body"/>
              <w:numPr>
                <w:ilvl w:val="0"/>
                <w:numId w:val="2"/>
              </w:numPr>
              <w:spacing w:after="0" w:line="240" w:lineRule="auto"/>
            </w:pPr>
            <w:r>
              <w:t>Write arguments to support claims in an analysis of substantive topics or texts, using valid reasoning and relevant and s</w:t>
            </w:r>
            <w:r>
              <w:t xml:space="preserve">ufficient evidence and write informative/explanatory texts to examine and convey complex ideas, concepts, and information clearly and accurately through the effective selection, organization, and analysis of content. </w:t>
            </w:r>
            <w:hyperlink r:id="rId15" w:history="1">
              <w:r>
                <w:rPr>
                  <w:rStyle w:val="Hyperlink0"/>
                </w:rPr>
                <w:t xml:space="preserve">LAFS.910.W.1.1 </w:t>
              </w:r>
            </w:hyperlink>
            <w:r>
              <w:t xml:space="preserve">  </w:t>
            </w:r>
            <w:hyperlink r:id="rId16" w:history="1">
              <w:r>
                <w:rPr>
                  <w:rStyle w:val="Hyperlink0"/>
                </w:rPr>
                <w:t xml:space="preserve">LAFS.910.W.1.2 </w:t>
              </w:r>
            </w:hyperlink>
          </w:p>
          <w:p w:rsidR="006508B5" w:rsidRDefault="006508B5">
            <w:pPr>
              <w:pStyle w:val="Body"/>
              <w:spacing w:after="0" w:line="240" w:lineRule="auto"/>
            </w:pPr>
          </w:p>
          <w:p w:rsidR="006508B5" w:rsidRDefault="0048726C">
            <w:pPr>
              <w:pStyle w:val="Body"/>
              <w:spacing w:after="0" w:line="240" w:lineRule="auto"/>
            </w:pPr>
            <w:r>
              <w:rPr>
                <w:u w:val="single"/>
              </w:rPr>
              <w:t>REVIEW 7</w:t>
            </w:r>
            <w:r>
              <w:rPr>
                <w:u w:val="single"/>
                <w:vertAlign w:val="superscript"/>
              </w:rPr>
              <w:t>th</w:t>
            </w:r>
            <w:r>
              <w:rPr>
                <w:u w:val="single"/>
              </w:rPr>
              <w:t xml:space="preserve"> and 8</w:t>
            </w:r>
            <w:r>
              <w:rPr>
                <w:u w:val="single"/>
                <w:vertAlign w:val="superscript"/>
              </w:rPr>
              <w:t>th</w:t>
            </w:r>
            <w:r>
              <w:rPr>
                <w:u w:val="single"/>
              </w:rPr>
              <w:t xml:space="preserve"> grade standards as needed</w:t>
            </w:r>
            <w:r>
              <w:t xml:space="preserve">: </w:t>
            </w:r>
          </w:p>
          <w:p w:rsidR="006508B5" w:rsidRDefault="006508B5">
            <w:pPr>
              <w:pStyle w:val="Body"/>
              <w:spacing w:after="0" w:line="240" w:lineRule="auto"/>
            </w:pPr>
          </w:p>
          <w:p w:rsidR="006508B5" w:rsidRDefault="0048726C">
            <w:pPr>
              <w:pStyle w:val="Body"/>
              <w:numPr>
                <w:ilvl w:val="0"/>
                <w:numId w:val="3"/>
              </w:numPr>
              <w:spacing w:after="0" w:line="240" w:lineRule="auto"/>
            </w:pPr>
            <w:r>
              <w:t>Subject/Predicate (complete sentences and fragments)</w:t>
            </w:r>
          </w:p>
          <w:p w:rsidR="006508B5" w:rsidRDefault="0048726C">
            <w:pPr>
              <w:pStyle w:val="Body"/>
              <w:numPr>
                <w:ilvl w:val="0"/>
                <w:numId w:val="3"/>
              </w:numPr>
              <w:spacing w:after="0" w:line="240" w:lineRule="auto"/>
            </w:pPr>
            <w:r>
              <w:t xml:space="preserve">Punctuation – </w:t>
            </w:r>
            <w:r>
              <w:t xml:space="preserve">commas to separate coordinate adjectives, dashes, parenthesis </w:t>
            </w:r>
          </w:p>
          <w:p w:rsidR="006508B5" w:rsidRDefault="0048726C">
            <w:pPr>
              <w:pStyle w:val="Body"/>
              <w:numPr>
                <w:ilvl w:val="0"/>
                <w:numId w:val="3"/>
              </w:numPr>
              <w:spacing w:after="0" w:line="240" w:lineRule="auto"/>
            </w:pPr>
            <w:r>
              <w:t>Capitalization</w:t>
            </w:r>
          </w:p>
          <w:p w:rsidR="006508B5" w:rsidRDefault="0048726C">
            <w:pPr>
              <w:pStyle w:val="Body"/>
              <w:numPr>
                <w:ilvl w:val="0"/>
                <w:numId w:val="3"/>
              </w:numPr>
              <w:spacing w:after="0" w:line="240" w:lineRule="auto"/>
            </w:pPr>
            <w:r>
              <w:t>Use simple, compound, complex sentences in writing</w:t>
            </w:r>
          </w:p>
          <w:p w:rsidR="006508B5" w:rsidRDefault="0048726C">
            <w:pPr>
              <w:pStyle w:val="Body"/>
              <w:numPr>
                <w:ilvl w:val="0"/>
                <w:numId w:val="3"/>
              </w:numPr>
              <w:spacing w:after="0" w:line="240" w:lineRule="auto"/>
            </w:pPr>
            <w:r>
              <w:t>Pronouns</w:t>
            </w:r>
          </w:p>
          <w:p w:rsidR="006508B5" w:rsidRDefault="0048726C">
            <w:pPr>
              <w:pStyle w:val="Body"/>
              <w:numPr>
                <w:ilvl w:val="0"/>
                <w:numId w:val="3"/>
              </w:numPr>
              <w:spacing w:after="0" w:line="240" w:lineRule="auto"/>
            </w:pPr>
            <w:r>
              <w:t>Verbs, verb phrases</w:t>
            </w:r>
          </w:p>
        </w:tc>
        <w:tc>
          <w:tcPr>
            <w:tcW w:w="3120" w:type="dxa"/>
            <w:tcBorders>
              <w:top w:val="single" w:sz="4" w:space="0" w:color="000000"/>
              <w:left w:val="single" w:sz="4" w:space="0" w:color="000000"/>
              <w:bottom w:val="nil"/>
              <w:right w:val="single" w:sz="24" w:space="0" w:color="000000"/>
            </w:tcBorders>
            <w:shd w:val="clear" w:color="auto" w:fill="auto"/>
            <w:tcMar>
              <w:top w:w="80" w:type="dxa"/>
              <w:left w:w="80" w:type="dxa"/>
              <w:bottom w:w="80" w:type="dxa"/>
              <w:right w:w="80" w:type="dxa"/>
            </w:tcMar>
          </w:tcPr>
          <w:p w:rsidR="006508B5" w:rsidRDefault="0048726C">
            <w:pPr>
              <w:pStyle w:val="Body"/>
              <w:spacing w:after="0" w:line="240" w:lineRule="auto"/>
            </w:pPr>
            <w:r>
              <w:rPr>
                <w:b/>
                <w:bCs/>
                <w:u w:val="single"/>
              </w:rPr>
              <w:t>Example Texts*</w:t>
            </w:r>
          </w:p>
        </w:tc>
      </w:tr>
      <w:tr w:rsidR="006508B5">
        <w:trPr>
          <w:trHeight w:val="7685"/>
        </w:trPr>
        <w:tc>
          <w:tcPr>
            <w:tcW w:w="2220" w:type="dxa"/>
            <w:vMerge/>
            <w:tcBorders>
              <w:top w:val="single" w:sz="4" w:space="0" w:color="000000"/>
              <w:left w:val="single" w:sz="24" w:space="0" w:color="000000"/>
              <w:bottom w:val="single" w:sz="24" w:space="0" w:color="000000"/>
              <w:right w:val="single" w:sz="4" w:space="0" w:color="000000"/>
            </w:tcBorders>
            <w:shd w:val="clear" w:color="auto" w:fill="auto"/>
          </w:tcPr>
          <w:p w:rsidR="006508B5" w:rsidRDefault="006508B5"/>
        </w:tc>
        <w:tc>
          <w:tcPr>
            <w:tcW w:w="7560" w:type="dxa"/>
            <w:vMerge/>
            <w:tcBorders>
              <w:top w:val="single" w:sz="4" w:space="0" w:color="000000"/>
              <w:left w:val="single" w:sz="4" w:space="0" w:color="000000"/>
              <w:bottom w:val="single" w:sz="24" w:space="0" w:color="000000"/>
              <w:right w:val="single" w:sz="4" w:space="0" w:color="000000"/>
            </w:tcBorders>
            <w:shd w:val="clear" w:color="auto" w:fill="auto"/>
          </w:tcPr>
          <w:p w:rsidR="006508B5" w:rsidRDefault="006508B5"/>
        </w:tc>
        <w:tc>
          <w:tcPr>
            <w:tcW w:w="3120" w:type="dxa"/>
            <w:tcBorders>
              <w:top w:val="nil"/>
              <w:left w:val="single" w:sz="4" w:space="0" w:color="000000"/>
              <w:bottom w:val="nil"/>
              <w:right w:val="single" w:sz="24" w:space="0" w:color="000000"/>
            </w:tcBorders>
            <w:shd w:val="clear" w:color="auto" w:fill="auto"/>
            <w:tcMar>
              <w:top w:w="80" w:type="dxa"/>
              <w:left w:w="80" w:type="dxa"/>
              <w:bottom w:w="80" w:type="dxa"/>
              <w:right w:w="80" w:type="dxa"/>
            </w:tcMar>
          </w:tcPr>
          <w:p w:rsidR="006508B5" w:rsidRDefault="0048726C">
            <w:pPr>
              <w:pStyle w:val="Body"/>
              <w:spacing w:after="0" w:line="240" w:lineRule="auto"/>
              <w:rPr>
                <w:i/>
                <w:iCs/>
              </w:rPr>
            </w:pPr>
            <w:r>
              <w:t xml:space="preserve"> </w:t>
            </w:r>
            <w:r>
              <w:rPr>
                <w:i/>
                <w:iCs/>
              </w:rPr>
              <w:t>The Metamorphosis</w:t>
            </w:r>
          </w:p>
          <w:p w:rsidR="006508B5" w:rsidRDefault="0048726C">
            <w:pPr>
              <w:pStyle w:val="Body"/>
              <w:spacing w:after="0" w:line="240" w:lineRule="auto"/>
            </w:pPr>
            <w:r>
              <w:t>(Novella by Franz Kafka – pg. 93)</w:t>
            </w:r>
          </w:p>
          <w:p w:rsidR="006508B5" w:rsidRDefault="0048726C">
            <w:pPr>
              <w:pStyle w:val="Body"/>
              <w:spacing w:after="0" w:line="240" w:lineRule="auto"/>
            </w:pPr>
            <w:r>
              <w:t xml:space="preserve">                      AND</w:t>
            </w:r>
          </w:p>
          <w:p w:rsidR="006508B5" w:rsidRDefault="0048726C">
            <w:pPr>
              <w:pStyle w:val="Body"/>
              <w:spacing w:after="0" w:line="240" w:lineRule="auto"/>
            </w:pPr>
            <w:r>
              <w:t>“</w:t>
            </w:r>
            <w:r>
              <w:t>We grow accustomed to the Dark” and “Before I got my eye put out”</w:t>
            </w:r>
          </w:p>
          <w:p w:rsidR="006508B5" w:rsidRDefault="006508B5">
            <w:pPr>
              <w:pStyle w:val="Body"/>
              <w:spacing w:after="0" w:line="240" w:lineRule="auto"/>
            </w:pPr>
          </w:p>
          <w:p w:rsidR="006508B5" w:rsidRDefault="0048726C">
            <w:pPr>
              <w:pStyle w:val="Body"/>
              <w:spacing w:after="0" w:line="240" w:lineRule="auto"/>
            </w:pPr>
            <w:r>
              <w:t>(Poems by Emily Dickinson – pgs. 156 &amp; 157)</w:t>
            </w:r>
          </w:p>
          <w:p w:rsidR="006508B5" w:rsidRDefault="0048726C">
            <w:pPr>
              <w:pStyle w:val="Body"/>
              <w:spacing w:after="0" w:line="240" w:lineRule="auto"/>
            </w:pPr>
            <w:r>
              <w:t xml:space="preserve">                        AND</w:t>
            </w:r>
          </w:p>
          <w:p w:rsidR="006508B5" w:rsidRDefault="0048726C">
            <w:pPr>
              <w:pStyle w:val="Body"/>
              <w:spacing w:after="0" w:line="240" w:lineRule="auto"/>
            </w:pPr>
            <w:r>
              <w:t xml:space="preserve">       “Coming to Our Senses”  </w:t>
            </w:r>
          </w:p>
          <w:p w:rsidR="006508B5" w:rsidRDefault="0048726C">
            <w:pPr>
              <w:pStyle w:val="Body"/>
              <w:spacing w:after="0" w:line="240" w:lineRule="auto"/>
            </w:pPr>
            <w:r>
              <w:t>(Neil de Grasse Tyson – pg. 161)</w:t>
            </w:r>
          </w:p>
          <w:p w:rsidR="006508B5" w:rsidRDefault="0048726C">
            <w:pPr>
              <w:pStyle w:val="Body"/>
              <w:rPr>
                <w:rStyle w:val="None"/>
                <w:b/>
                <w:bCs/>
              </w:rPr>
            </w:pPr>
            <w:r>
              <w:t xml:space="preserve">(from class textbook resource </w:t>
            </w:r>
            <w:hyperlink r:id="rId17" w:history="1">
              <w:r>
                <w:rPr>
                  <w:rStyle w:val="Hyperlink2"/>
                </w:rPr>
                <w:t>HMH Collections</w:t>
              </w:r>
            </w:hyperlink>
            <w:r>
              <w:rPr>
                <w:rStyle w:val="Hyperlink2"/>
              </w:rPr>
              <w:t>)</w:t>
            </w:r>
            <w:r>
              <w:rPr>
                <w:rStyle w:val="None"/>
                <w:b/>
                <w:bCs/>
              </w:rPr>
              <w:t xml:space="preserve"> *</w:t>
            </w:r>
          </w:p>
          <w:p w:rsidR="006508B5" w:rsidRDefault="0048726C">
            <w:pPr>
              <w:pStyle w:val="Body"/>
              <w:spacing w:after="0" w:line="240" w:lineRule="auto"/>
              <w:rPr>
                <w:rStyle w:val="None"/>
              </w:rPr>
            </w:pPr>
            <w:r>
              <w:rPr>
                <w:rStyle w:val="None"/>
                <w:b/>
                <w:bCs/>
              </w:rPr>
              <w:t>Reading/ Writing Support for Students:</w:t>
            </w:r>
          </w:p>
          <w:p w:rsidR="006508B5" w:rsidRDefault="0048726C">
            <w:pPr>
              <w:pStyle w:val="Body"/>
              <w:spacing w:after="0" w:line="240" w:lineRule="auto"/>
              <w:rPr>
                <w:rStyle w:val="None"/>
                <w:b/>
                <w:bCs/>
                <w:color w:val="0563C1"/>
                <w:u w:val="single" w:color="0563C1"/>
              </w:rPr>
            </w:pPr>
            <w:hyperlink r:id="rId18" w:history="1">
              <w:r>
                <w:rPr>
                  <w:rStyle w:val="Hyperlink3"/>
                  <w:b/>
                  <w:bCs/>
                </w:rPr>
                <w:t>P</w:t>
              </w:r>
              <w:r>
                <w:rPr>
                  <w:rStyle w:val="Hyperlink3"/>
                  <w:b/>
                  <w:bCs/>
                </w:rPr>
                <w:t>rinciples of Composition</w:t>
              </w:r>
            </w:hyperlink>
          </w:p>
          <w:p w:rsidR="006508B5" w:rsidRDefault="0048726C">
            <w:pPr>
              <w:pStyle w:val="Body"/>
              <w:spacing w:after="0" w:line="240" w:lineRule="auto"/>
              <w:rPr>
                <w:rStyle w:val="None"/>
              </w:rPr>
            </w:pPr>
            <w:r>
              <w:rPr>
                <w:rStyle w:val="None"/>
              </w:rPr>
              <w:t>(Help for students with writing: includes materials that will help students write in different formats)</w:t>
            </w:r>
          </w:p>
          <w:p w:rsidR="006508B5" w:rsidRDefault="0048726C">
            <w:pPr>
              <w:pStyle w:val="Body"/>
              <w:spacing w:after="0" w:line="240" w:lineRule="auto"/>
              <w:rPr>
                <w:rStyle w:val="None"/>
                <w:b/>
                <w:bCs/>
                <w:u w:val="single"/>
              </w:rPr>
            </w:pPr>
            <w:r>
              <w:rPr>
                <w:rStyle w:val="None"/>
                <w:b/>
                <w:bCs/>
                <w:u w:val="single"/>
              </w:rPr>
              <w:t>Sample Writing Task:</w:t>
            </w:r>
          </w:p>
          <w:p w:rsidR="006508B5" w:rsidRDefault="0048726C">
            <w:pPr>
              <w:pStyle w:val="Body"/>
              <w:spacing w:after="0" w:line="240" w:lineRule="auto"/>
            </w:pPr>
            <w:r>
              <w:rPr>
                <w:rStyle w:val="None"/>
              </w:rPr>
              <w:t>Based on the anchor texts, argue (in a short or extended response using evidence from the text) whether</w:t>
            </w:r>
            <w:r>
              <w:rPr>
                <w:rStyle w:val="None"/>
              </w:rPr>
              <w:t xml:space="preserve"> change was presented as mostly positive, mostly negative, or as a combination of both.</w:t>
            </w:r>
          </w:p>
        </w:tc>
      </w:tr>
      <w:tr w:rsidR="006508B5">
        <w:trPr>
          <w:trHeight w:val="241"/>
        </w:trPr>
        <w:tc>
          <w:tcPr>
            <w:tcW w:w="2220" w:type="dxa"/>
            <w:vMerge/>
            <w:tcBorders>
              <w:top w:val="single" w:sz="4" w:space="0" w:color="000000"/>
              <w:left w:val="single" w:sz="24" w:space="0" w:color="000000"/>
              <w:bottom w:val="single" w:sz="24" w:space="0" w:color="000000"/>
              <w:right w:val="single" w:sz="4" w:space="0" w:color="000000"/>
            </w:tcBorders>
            <w:shd w:val="clear" w:color="auto" w:fill="auto"/>
          </w:tcPr>
          <w:p w:rsidR="006508B5" w:rsidRDefault="006508B5"/>
        </w:tc>
        <w:tc>
          <w:tcPr>
            <w:tcW w:w="7560" w:type="dxa"/>
            <w:vMerge/>
            <w:tcBorders>
              <w:top w:val="single" w:sz="4" w:space="0" w:color="000000"/>
              <w:left w:val="single" w:sz="4" w:space="0" w:color="000000"/>
              <w:bottom w:val="single" w:sz="24" w:space="0" w:color="000000"/>
              <w:right w:val="single" w:sz="4" w:space="0" w:color="000000"/>
            </w:tcBorders>
            <w:shd w:val="clear" w:color="auto" w:fill="auto"/>
          </w:tcPr>
          <w:p w:rsidR="006508B5" w:rsidRDefault="006508B5"/>
        </w:tc>
        <w:tc>
          <w:tcPr>
            <w:tcW w:w="3120" w:type="dxa"/>
            <w:tcBorders>
              <w:top w:val="nil"/>
              <w:left w:val="single" w:sz="4" w:space="0" w:color="000000"/>
              <w:bottom w:val="single" w:sz="24" w:space="0" w:color="000000"/>
              <w:right w:val="single" w:sz="24" w:space="0" w:color="000000"/>
            </w:tcBorders>
            <w:shd w:val="clear" w:color="auto" w:fill="auto"/>
            <w:tcMar>
              <w:top w:w="80" w:type="dxa"/>
              <w:left w:w="80" w:type="dxa"/>
              <w:bottom w:w="80" w:type="dxa"/>
              <w:right w:w="80" w:type="dxa"/>
            </w:tcMar>
          </w:tcPr>
          <w:p w:rsidR="006508B5" w:rsidRDefault="006508B5"/>
        </w:tc>
      </w:tr>
      <w:tr w:rsidR="006508B5">
        <w:trPr>
          <w:trHeight w:val="260"/>
        </w:trPr>
        <w:tc>
          <w:tcPr>
            <w:tcW w:w="2220" w:type="dxa"/>
            <w:vMerge w:val="restart"/>
            <w:tcBorders>
              <w:top w:val="single" w:sz="24" w:space="0" w:color="000000"/>
              <w:left w:val="single" w:sz="24" w:space="0" w:color="000000"/>
              <w:bottom w:val="single" w:sz="24" w:space="0" w:color="000000"/>
              <w:right w:val="single" w:sz="4" w:space="0" w:color="000000"/>
            </w:tcBorders>
            <w:shd w:val="clear" w:color="auto" w:fill="auto"/>
            <w:tcMar>
              <w:top w:w="80" w:type="dxa"/>
              <w:left w:w="80" w:type="dxa"/>
              <w:bottom w:w="80" w:type="dxa"/>
              <w:right w:w="80" w:type="dxa"/>
            </w:tcMar>
            <w:vAlign w:val="center"/>
          </w:tcPr>
          <w:p w:rsidR="006508B5" w:rsidRDefault="0048726C">
            <w:pPr>
              <w:pStyle w:val="Body"/>
              <w:spacing w:after="0" w:line="240" w:lineRule="auto"/>
              <w:jc w:val="center"/>
              <w:rPr>
                <w:rStyle w:val="None"/>
                <w:b/>
                <w:bCs/>
              </w:rPr>
            </w:pPr>
            <w:r>
              <w:rPr>
                <w:rStyle w:val="None"/>
                <w:b/>
                <w:bCs/>
              </w:rPr>
              <w:t>Quarter 2</w:t>
            </w:r>
          </w:p>
          <w:p w:rsidR="006508B5" w:rsidRDefault="0048726C">
            <w:pPr>
              <w:pStyle w:val="Body"/>
              <w:spacing w:after="0" w:line="240" w:lineRule="auto"/>
              <w:jc w:val="center"/>
              <w:rPr>
                <w:rStyle w:val="None"/>
                <w:b/>
                <w:bCs/>
              </w:rPr>
            </w:pPr>
            <w:r>
              <w:rPr>
                <w:rStyle w:val="None"/>
                <w:b/>
                <w:bCs/>
              </w:rPr>
              <w:t>Oct 17 – Dec 21</w:t>
            </w:r>
          </w:p>
          <w:p w:rsidR="006508B5" w:rsidRDefault="006508B5">
            <w:pPr>
              <w:pStyle w:val="Body"/>
              <w:spacing w:after="0" w:line="240" w:lineRule="auto"/>
              <w:jc w:val="center"/>
              <w:rPr>
                <w:rStyle w:val="None"/>
              </w:rPr>
            </w:pPr>
          </w:p>
          <w:p w:rsidR="006508B5" w:rsidRDefault="006508B5">
            <w:pPr>
              <w:pStyle w:val="Body"/>
              <w:spacing w:after="0" w:line="240" w:lineRule="auto"/>
              <w:jc w:val="center"/>
              <w:rPr>
                <w:rStyle w:val="None"/>
              </w:rPr>
            </w:pPr>
          </w:p>
          <w:p w:rsidR="006508B5" w:rsidRDefault="006508B5">
            <w:pPr>
              <w:pStyle w:val="Body"/>
              <w:spacing w:after="0" w:line="240" w:lineRule="auto"/>
              <w:jc w:val="center"/>
              <w:rPr>
                <w:rStyle w:val="None"/>
              </w:rPr>
            </w:pPr>
          </w:p>
          <w:p w:rsidR="006508B5" w:rsidRDefault="006508B5">
            <w:pPr>
              <w:pStyle w:val="Body"/>
              <w:spacing w:after="0" w:line="240" w:lineRule="auto"/>
              <w:jc w:val="center"/>
              <w:rPr>
                <w:rStyle w:val="None"/>
              </w:rPr>
            </w:pPr>
          </w:p>
          <w:p w:rsidR="006508B5" w:rsidRDefault="006508B5">
            <w:pPr>
              <w:pStyle w:val="Body"/>
              <w:spacing w:after="0" w:line="240" w:lineRule="auto"/>
              <w:jc w:val="center"/>
            </w:pPr>
          </w:p>
        </w:tc>
        <w:tc>
          <w:tcPr>
            <w:tcW w:w="7560" w:type="dxa"/>
            <w:tcBorders>
              <w:top w:val="single" w:sz="24" w:space="0" w:color="000000"/>
              <w:left w:val="single" w:sz="4" w:space="0" w:color="000000"/>
              <w:bottom w:val="single" w:sz="8" w:space="0" w:color="000000"/>
              <w:right w:val="single" w:sz="4" w:space="0" w:color="000000"/>
            </w:tcBorders>
            <w:shd w:val="clear" w:color="auto" w:fill="FFC000"/>
            <w:tcMar>
              <w:top w:w="80" w:type="dxa"/>
              <w:left w:w="80" w:type="dxa"/>
              <w:bottom w:w="80" w:type="dxa"/>
              <w:right w:w="80" w:type="dxa"/>
            </w:tcMar>
            <w:vAlign w:val="center"/>
          </w:tcPr>
          <w:p w:rsidR="006508B5" w:rsidRDefault="0048726C">
            <w:pPr>
              <w:pStyle w:val="Body"/>
              <w:spacing w:after="0" w:line="240" w:lineRule="auto"/>
              <w:jc w:val="center"/>
            </w:pPr>
            <w:r>
              <w:rPr>
                <w:rStyle w:val="None"/>
                <w:b/>
                <w:bCs/>
              </w:rPr>
              <w:t>Key Standards Covered</w:t>
            </w:r>
          </w:p>
        </w:tc>
        <w:tc>
          <w:tcPr>
            <w:tcW w:w="3120" w:type="dxa"/>
            <w:tcBorders>
              <w:top w:val="single" w:sz="24" w:space="0" w:color="000000"/>
              <w:left w:val="single" w:sz="4" w:space="0" w:color="000000"/>
              <w:bottom w:val="single" w:sz="8" w:space="0" w:color="000000"/>
              <w:right w:val="single" w:sz="24" w:space="0" w:color="000000"/>
            </w:tcBorders>
            <w:shd w:val="clear" w:color="auto" w:fill="FFC000"/>
            <w:tcMar>
              <w:top w:w="80" w:type="dxa"/>
              <w:left w:w="80" w:type="dxa"/>
              <w:bottom w:w="80" w:type="dxa"/>
              <w:right w:w="80" w:type="dxa"/>
            </w:tcMar>
            <w:vAlign w:val="center"/>
          </w:tcPr>
          <w:p w:rsidR="006508B5" w:rsidRDefault="0048726C">
            <w:pPr>
              <w:pStyle w:val="Body"/>
              <w:spacing w:after="0" w:line="240" w:lineRule="auto"/>
              <w:jc w:val="center"/>
            </w:pPr>
            <w:r>
              <w:rPr>
                <w:rStyle w:val="None"/>
                <w:b/>
                <w:bCs/>
              </w:rPr>
              <w:t>Examples of Resources</w:t>
            </w:r>
          </w:p>
        </w:tc>
      </w:tr>
      <w:tr w:rsidR="006508B5">
        <w:trPr>
          <w:trHeight w:val="8051"/>
        </w:trPr>
        <w:tc>
          <w:tcPr>
            <w:tcW w:w="2220" w:type="dxa"/>
            <w:vMerge/>
            <w:tcBorders>
              <w:top w:val="single" w:sz="24" w:space="0" w:color="000000"/>
              <w:left w:val="single" w:sz="24" w:space="0" w:color="000000"/>
              <w:bottom w:val="single" w:sz="24" w:space="0" w:color="000000"/>
              <w:right w:val="single" w:sz="4" w:space="0" w:color="000000"/>
            </w:tcBorders>
            <w:shd w:val="clear" w:color="auto" w:fill="auto"/>
          </w:tcPr>
          <w:p w:rsidR="006508B5" w:rsidRDefault="006508B5"/>
        </w:tc>
        <w:tc>
          <w:tcPr>
            <w:tcW w:w="7560" w:type="dxa"/>
            <w:tcBorders>
              <w:top w:val="single" w:sz="8" w:space="0" w:color="000000"/>
              <w:left w:val="single" w:sz="4" w:space="0" w:color="000000"/>
              <w:bottom w:val="single" w:sz="24" w:space="0" w:color="000000"/>
              <w:right w:val="single" w:sz="4" w:space="0" w:color="000000"/>
            </w:tcBorders>
            <w:shd w:val="clear" w:color="auto" w:fill="auto"/>
            <w:tcMar>
              <w:top w:w="80" w:type="dxa"/>
              <w:left w:w="800" w:type="dxa"/>
              <w:bottom w:w="80" w:type="dxa"/>
              <w:right w:w="80" w:type="dxa"/>
            </w:tcMar>
          </w:tcPr>
          <w:p w:rsidR="006508B5" w:rsidRDefault="0048726C">
            <w:pPr>
              <w:pStyle w:val="ListParagraph"/>
              <w:spacing w:after="0" w:line="240" w:lineRule="auto"/>
              <w:rPr>
                <w:rStyle w:val="None"/>
                <w:b/>
                <w:bCs/>
              </w:rPr>
            </w:pPr>
            <w:r>
              <w:rPr>
                <w:rStyle w:val="None"/>
                <w:b/>
                <w:bCs/>
              </w:rPr>
              <w:t>Students will be able to :</w:t>
            </w:r>
          </w:p>
          <w:p w:rsidR="006508B5" w:rsidRDefault="006508B5">
            <w:pPr>
              <w:pStyle w:val="ListParagraph"/>
              <w:spacing w:after="0" w:line="240" w:lineRule="auto"/>
              <w:rPr>
                <w:rStyle w:val="None"/>
              </w:rPr>
            </w:pPr>
          </w:p>
          <w:p w:rsidR="006508B5" w:rsidRDefault="0048726C">
            <w:pPr>
              <w:pStyle w:val="ListParagraph"/>
              <w:numPr>
                <w:ilvl w:val="0"/>
                <w:numId w:val="4"/>
              </w:numPr>
              <w:spacing w:after="0" w:line="240" w:lineRule="auto"/>
            </w:pPr>
            <w:r>
              <w:rPr>
                <w:rStyle w:val="None"/>
              </w:rPr>
              <w:t>Determine the meaning of words and phrases as they are used in the text, including figurative and connotative meanings; analyze the cumulative impact of specific word choices on meaning and tone (e.g., how the language evokes a sense of time and place; how</w:t>
            </w:r>
            <w:r>
              <w:rPr>
                <w:rStyle w:val="None"/>
              </w:rPr>
              <w:t xml:space="preserve"> it sets a formal or informal tone </w:t>
            </w:r>
            <w:hyperlink r:id="rId19" w:history="1">
              <w:r>
                <w:rPr>
                  <w:rStyle w:val="Hyperlink0"/>
                </w:rPr>
                <w:t xml:space="preserve">LAFS.910.RL.2.4 </w:t>
              </w:r>
            </w:hyperlink>
            <w:r>
              <w:rPr>
                <w:rStyle w:val="None"/>
              </w:rPr>
              <w:t xml:space="preserve"> </w:t>
            </w:r>
            <w:hyperlink r:id="rId20" w:history="1">
              <w:r>
                <w:rPr>
                  <w:rStyle w:val="Hyperlink0"/>
                </w:rPr>
                <w:t xml:space="preserve">LAFS.910.RI.2.4 </w:t>
              </w:r>
            </w:hyperlink>
          </w:p>
          <w:p w:rsidR="006508B5" w:rsidRDefault="006508B5">
            <w:pPr>
              <w:pStyle w:val="ListParagraph"/>
              <w:spacing w:after="0" w:line="240" w:lineRule="auto"/>
              <w:rPr>
                <w:rStyle w:val="None"/>
              </w:rPr>
            </w:pPr>
          </w:p>
          <w:p w:rsidR="006508B5" w:rsidRDefault="0048726C">
            <w:pPr>
              <w:pStyle w:val="ListParagraph"/>
              <w:numPr>
                <w:ilvl w:val="0"/>
                <w:numId w:val="4"/>
              </w:numPr>
              <w:spacing w:after="0" w:line="240" w:lineRule="auto"/>
            </w:pPr>
            <w:r>
              <w:rPr>
                <w:rStyle w:val="None"/>
              </w:rPr>
              <w:t>Analyze how an author’s choices concerni</w:t>
            </w:r>
            <w:r>
              <w:rPr>
                <w:rStyle w:val="None"/>
              </w:rPr>
              <w:t>ng how to structure a text, order events within it, and manipulate time to create such effects as mystery, tension, or surprise and analyze in detail how an author’s ideas or claims are developed and refined by particular sentences, paragraphs, or larger p</w:t>
            </w:r>
            <w:r>
              <w:rPr>
                <w:rStyle w:val="None"/>
              </w:rPr>
              <w:t xml:space="preserve">ortions of a text. </w:t>
            </w:r>
            <w:hyperlink r:id="rId21" w:history="1">
              <w:r>
                <w:rPr>
                  <w:rStyle w:val="Hyperlink0"/>
                </w:rPr>
                <w:t>LAFS.910.RL.2.5:</w:t>
              </w:r>
            </w:hyperlink>
            <w:r>
              <w:rPr>
                <w:rStyle w:val="None"/>
              </w:rPr>
              <w:t xml:space="preserve">  </w:t>
            </w:r>
            <w:hyperlink r:id="rId22" w:history="1">
              <w:r>
                <w:rPr>
                  <w:rStyle w:val="Hyperlink0"/>
                </w:rPr>
                <w:t>LAFS.910.RI.2.5:</w:t>
              </w:r>
            </w:hyperlink>
          </w:p>
          <w:p w:rsidR="006508B5" w:rsidRDefault="006508B5">
            <w:pPr>
              <w:pStyle w:val="ListParagraph"/>
              <w:spacing w:after="0" w:line="240" w:lineRule="auto"/>
              <w:rPr>
                <w:rStyle w:val="None"/>
              </w:rPr>
            </w:pPr>
          </w:p>
          <w:p w:rsidR="006508B5" w:rsidRDefault="0048726C">
            <w:pPr>
              <w:pStyle w:val="ListParagraph"/>
              <w:numPr>
                <w:ilvl w:val="0"/>
                <w:numId w:val="4"/>
              </w:numPr>
              <w:spacing w:after="0" w:line="240" w:lineRule="auto"/>
            </w:pPr>
            <w:r>
              <w:rPr>
                <w:rStyle w:val="None"/>
              </w:rPr>
              <w:t>Analyze a particular point of view or cultural experien</w:t>
            </w:r>
            <w:r>
              <w:rPr>
                <w:rStyle w:val="None"/>
              </w:rPr>
              <w:t xml:space="preserve">ce reflected in a work of literature from outside the United </w:t>
            </w:r>
            <w:proofErr w:type="gramStart"/>
            <w:r>
              <w:rPr>
                <w:rStyle w:val="None"/>
              </w:rPr>
              <w:t>States and determine an author’s point of view or purpose in a text</w:t>
            </w:r>
            <w:proofErr w:type="gramEnd"/>
            <w:r>
              <w:rPr>
                <w:rStyle w:val="None"/>
              </w:rPr>
              <w:t xml:space="preserve"> and analyze how an author uses rhetoric to advance that point of view or purpose. </w:t>
            </w:r>
            <w:hyperlink r:id="rId23" w:history="1">
              <w:r>
                <w:rPr>
                  <w:rStyle w:val="Hyperlink0"/>
                </w:rPr>
                <w:t>LAFS.910.RL.2.6:</w:t>
              </w:r>
            </w:hyperlink>
            <w:r>
              <w:rPr>
                <w:rStyle w:val="None"/>
              </w:rPr>
              <w:t> </w:t>
            </w:r>
            <w:hyperlink r:id="rId24" w:history="1">
              <w:r>
                <w:rPr>
                  <w:rStyle w:val="Hyperlink0"/>
                </w:rPr>
                <w:t>LAFS.910.RI.2.6:</w:t>
              </w:r>
            </w:hyperlink>
            <w:r>
              <w:rPr>
                <w:rStyle w:val="None"/>
              </w:rPr>
              <w:t xml:space="preserve"> </w:t>
            </w:r>
          </w:p>
          <w:p w:rsidR="006508B5" w:rsidRDefault="006508B5">
            <w:pPr>
              <w:pStyle w:val="ListParagraph"/>
              <w:spacing w:after="0" w:line="240" w:lineRule="auto"/>
              <w:rPr>
                <w:rStyle w:val="None"/>
              </w:rPr>
            </w:pPr>
          </w:p>
          <w:p w:rsidR="006508B5" w:rsidRDefault="0048726C">
            <w:pPr>
              <w:pStyle w:val="ListParagraph"/>
              <w:numPr>
                <w:ilvl w:val="0"/>
                <w:numId w:val="4"/>
              </w:numPr>
              <w:spacing w:after="0" w:line="240" w:lineRule="auto"/>
            </w:pPr>
            <w:r>
              <w:rPr>
                <w:rStyle w:val="None"/>
              </w:rPr>
              <w:t xml:space="preserve">Demonstrate command of the conventions of </w:t>
            </w:r>
            <w:proofErr w:type="gramStart"/>
            <w:r>
              <w:rPr>
                <w:rStyle w:val="None"/>
              </w:rPr>
              <w:t>standard</w:t>
            </w:r>
            <w:proofErr w:type="gramEnd"/>
            <w:r>
              <w:rPr>
                <w:rStyle w:val="None"/>
              </w:rPr>
              <w:t xml:space="preserve"> English grammar and usage when writing or speaking and command of the conventions of standard English capitalization, punctuation, and spelling when writing. </w:t>
            </w:r>
            <w:hyperlink r:id="rId25" w:history="1">
              <w:r>
                <w:rPr>
                  <w:rStyle w:val="Hyperlink0"/>
                </w:rPr>
                <w:t>LAFS.910.L.</w:t>
              </w:r>
              <w:bookmarkStart w:id="0" w:name="_GoBack"/>
              <w:bookmarkEnd w:id="0"/>
              <w:r>
                <w:rPr>
                  <w:rStyle w:val="Hyperlink0"/>
                </w:rPr>
                <w:t>1.1:</w:t>
              </w:r>
            </w:hyperlink>
            <w:r>
              <w:rPr>
                <w:rStyle w:val="None"/>
              </w:rPr>
              <w:t xml:space="preserve">  </w:t>
            </w:r>
            <w:hyperlink r:id="rId26" w:history="1">
              <w:r>
                <w:rPr>
                  <w:rStyle w:val="Hyperlink0"/>
                </w:rPr>
                <w:t>LAFS.910.L.1.2:</w:t>
              </w:r>
            </w:hyperlink>
          </w:p>
          <w:p w:rsidR="006508B5" w:rsidRDefault="006508B5">
            <w:pPr>
              <w:pStyle w:val="ListParagraph"/>
              <w:spacing w:after="0" w:line="240" w:lineRule="auto"/>
              <w:rPr>
                <w:rStyle w:val="None"/>
                <w:b/>
                <w:bCs/>
              </w:rPr>
            </w:pPr>
          </w:p>
          <w:p w:rsidR="006508B5" w:rsidRDefault="006508B5">
            <w:pPr>
              <w:pStyle w:val="ListParagraph"/>
              <w:spacing w:after="0" w:line="240" w:lineRule="auto"/>
              <w:rPr>
                <w:rStyle w:val="None"/>
                <w:b/>
                <w:bCs/>
              </w:rPr>
            </w:pPr>
          </w:p>
          <w:p w:rsidR="006508B5" w:rsidRDefault="006508B5">
            <w:pPr>
              <w:pStyle w:val="ListParagraph"/>
              <w:spacing w:after="0" w:line="240" w:lineRule="auto"/>
              <w:rPr>
                <w:rStyle w:val="None"/>
                <w:b/>
                <w:bCs/>
              </w:rPr>
            </w:pPr>
          </w:p>
          <w:p w:rsidR="006508B5" w:rsidRDefault="006508B5">
            <w:pPr>
              <w:pStyle w:val="ListParagraph"/>
              <w:spacing w:after="0" w:line="240" w:lineRule="auto"/>
              <w:rPr>
                <w:rStyle w:val="None"/>
                <w:b/>
                <w:bCs/>
              </w:rPr>
            </w:pPr>
          </w:p>
          <w:p w:rsidR="006508B5" w:rsidRDefault="006508B5">
            <w:pPr>
              <w:pStyle w:val="ListParagraph"/>
              <w:spacing w:after="0" w:line="240" w:lineRule="auto"/>
              <w:rPr>
                <w:rStyle w:val="None"/>
                <w:b/>
                <w:bCs/>
              </w:rPr>
            </w:pPr>
          </w:p>
          <w:p w:rsidR="006508B5" w:rsidRDefault="006508B5">
            <w:pPr>
              <w:pStyle w:val="ListParagraph"/>
              <w:spacing w:after="0" w:line="240" w:lineRule="auto"/>
            </w:pPr>
          </w:p>
        </w:tc>
        <w:tc>
          <w:tcPr>
            <w:tcW w:w="3120" w:type="dxa"/>
            <w:tcBorders>
              <w:top w:val="single" w:sz="8" w:space="0" w:color="000000"/>
              <w:left w:val="single" w:sz="4" w:space="0" w:color="000000"/>
              <w:bottom w:val="single" w:sz="24" w:space="0" w:color="000000"/>
              <w:right w:val="single" w:sz="24" w:space="0" w:color="000000"/>
            </w:tcBorders>
            <w:shd w:val="clear" w:color="auto" w:fill="auto"/>
            <w:tcMar>
              <w:top w:w="80" w:type="dxa"/>
              <w:left w:w="80" w:type="dxa"/>
              <w:bottom w:w="80" w:type="dxa"/>
              <w:right w:w="80" w:type="dxa"/>
            </w:tcMar>
          </w:tcPr>
          <w:p w:rsidR="006508B5" w:rsidRDefault="0048726C">
            <w:pPr>
              <w:pStyle w:val="Body"/>
              <w:spacing w:after="0" w:line="240" w:lineRule="auto"/>
              <w:rPr>
                <w:rStyle w:val="None"/>
              </w:rPr>
            </w:pPr>
            <w:r>
              <w:rPr>
                <w:rStyle w:val="None"/>
                <w:b/>
                <w:bCs/>
                <w:u w:val="single"/>
              </w:rPr>
              <w:lastRenderedPageBreak/>
              <w:t>Example Texts*</w:t>
            </w:r>
            <w:r>
              <w:rPr>
                <w:rStyle w:val="None"/>
              </w:rPr>
              <w:t xml:space="preserve"> </w:t>
            </w:r>
          </w:p>
          <w:p w:rsidR="006508B5" w:rsidRDefault="0048726C">
            <w:pPr>
              <w:pStyle w:val="Body"/>
              <w:spacing w:after="0" w:line="240" w:lineRule="auto"/>
              <w:rPr>
                <w:rStyle w:val="None"/>
              </w:rPr>
            </w:pPr>
            <w:r>
              <w:rPr>
                <w:rStyle w:val="None"/>
              </w:rPr>
              <w:t xml:space="preserve">“What, of This Goldfish, Would You Wish?” (by </w:t>
            </w:r>
            <w:proofErr w:type="spellStart"/>
            <w:r>
              <w:rPr>
                <w:rStyle w:val="None"/>
              </w:rPr>
              <w:t>Etgar</w:t>
            </w:r>
            <w:proofErr w:type="spellEnd"/>
            <w:r>
              <w:rPr>
                <w:rStyle w:val="None"/>
              </w:rPr>
              <w:t xml:space="preserve"> </w:t>
            </w:r>
            <w:proofErr w:type="spellStart"/>
            <w:r>
              <w:rPr>
                <w:rStyle w:val="None"/>
              </w:rPr>
              <w:t>Keret</w:t>
            </w:r>
            <w:proofErr w:type="spellEnd"/>
            <w:r>
              <w:rPr>
                <w:rStyle w:val="None"/>
              </w:rPr>
              <w:t xml:space="preserve"> – pg. 3) </w:t>
            </w:r>
          </w:p>
          <w:p w:rsidR="006508B5" w:rsidRDefault="0048726C">
            <w:pPr>
              <w:pStyle w:val="Body"/>
              <w:spacing w:after="0" w:line="240" w:lineRule="auto"/>
              <w:rPr>
                <w:rStyle w:val="None"/>
              </w:rPr>
            </w:pPr>
            <w:r>
              <w:rPr>
                <w:rStyle w:val="None"/>
              </w:rPr>
              <w:t xml:space="preserve">                        AND</w:t>
            </w:r>
          </w:p>
          <w:p w:rsidR="006508B5" w:rsidRDefault="0048726C">
            <w:pPr>
              <w:pStyle w:val="Body"/>
              <w:spacing w:after="0" w:line="240" w:lineRule="auto"/>
              <w:rPr>
                <w:rStyle w:val="None"/>
              </w:rPr>
            </w:pPr>
            <w:r>
              <w:rPr>
                <w:rStyle w:val="None"/>
              </w:rPr>
              <w:t>From T</w:t>
            </w:r>
            <w:r>
              <w:rPr>
                <w:rStyle w:val="None"/>
              </w:rPr>
              <w:t>exas v. Johnson Majority Opinion (pg. 15)</w:t>
            </w:r>
          </w:p>
          <w:p w:rsidR="006508B5" w:rsidRDefault="0048726C">
            <w:pPr>
              <w:pStyle w:val="Body"/>
              <w:spacing w:after="0" w:line="240" w:lineRule="auto"/>
              <w:rPr>
                <w:rStyle w:val="None"/>
              </w:rPr>
            </w:pPr>
            <w:r>
              <w:rPr>
                <w:rStyle w:val="None"/>
              </w:rPr>
              <w:t>American Flag Stands for Tolerance (pg. 18)</w:t>
            </w:r>
          </w:p>
          <w:p w:rsidR="006508B5" w:rsidRDefault="0048726C">
            <w:pPr>
              <w:pStyle w:val="Body"/>
              <w:rPr>
                <w:rStyle w:val="None"/>
              </w:rPr>
            </w:pPr>
            <w:r>
              <w:rPr>
                <w:rStyle w:val="None"/>
              </w:rPr>
              <w:t xml:space="preserve">book </w:t>
            </w:r>
          </w:p>
          <w:p w:rsidR="006508B5" w:rsidRDefault="0048726C">
            <w:pPr>
              <w:pStyle w:val="Body"/>
              <w:spacing w:after="0" w:line="240" w:lineRule="auto"/>
              <w:rPr>
                <w:rStyle w:val="None"/>
              </w:rPr>
            </w:pPr>
            <w:r>
              <w:rPr>
                <w:rStyle w:val="None"/>
              </w:rPr>
              <w:t xml:space="preserve">                      OR</w:t>
            </w:r>
          </w:p>
          <w:p w:rsidR="006508B5" w:rsidRDefault="0048726C">
            <w:pPr>
              <w:pStyle w:val="Body"/>
              <w:spacing w:after="0" w:line="240" w:lineRule="auto"/>
              <w:rPr>
                <w:rStyle w:val="None"/>
              </w:rPr>
            </w:pPr>
            <w:r>
              <w:rPr>
                <w:rStyle w:val="None"/>
              </w:rPr>
              <w:t xml:space="preserve">“Letter from Birmingham Jail” (by Martin Luther King, Jr. -  pg. 315) </w:t>
            </w:r>
          </w:p>
          <w:p w:rsidR="006508B5" w:rsidRDefault="006508B5">
            <w:pPr>
              <w:pStyle w:val="Body"/>
              <w:spacing w:after="0" w:line="240" w:lineRule="auto"/>
              <w:rPr>
                <w:rStyle w:val="None"/>
              </w:rPr>
            </w:pPr>
          </w:p>
          <w:p w:rsidR="006508B5" w:rsidRDefault="0048726C">
            <w:pPr>
              <w:pStyle w:val="Body"/>
              <w:rPr>
                <w:rStyle w:val="None"/>
                <w:b/>
                <w:bCs/>
              </w:rPr>
            </w:pPr>
            <w:r>
              <w:rPr>
                <w:rStyle w:val="None"/>
              </w:rPr>
              <w:t xml:space="preserve">(from class textbook resource </w:t>
            </w:r>
            <w:hyperlink r:id="rId27" w:history="1">
              <w:r>
                <w:rPr>
                  <w:rStyle w:val="Hyperlink2"/>
                </w:rPr>
                <w:t>HMH Collections</w:t>
              </w:r>
            </w:hyperlink>
            <w:r>
              <w:rPr>
                <w:rStyle w:val="Hyperlink2"/>
              </w:rPr>
              <w:t>)</w:t>
            </w:r>
            <w:r>
              <w:rPr>
                <w:rStyle w:val="None"/>
                <w:b/>
                <w:bCs/>
              </w:rPr>
              <w:t xml:space="preserve"> *</w:t>
            </w:r>
          </w:p>
          <w:p w:rsidR="006508B5" w:rsidRDefault="0048726C">
            <w:pPr>
              <w:pStyle w:val="Body"/>
              <w:spacing w:after="0" w:line="240" w:lineRule="auto"/>
              <w:rPr>
                <w:rStyle w:val="None"/>
                <w:b/>
                <w:bCs/>
              </w:rPr>
            </w:pPr>
            <w:r>
              <w:rPr>
                <w:rStyle w:val="None"/>
                <w:b/>
                <w:bCs/>
                <w:u w:val="single"/>
              </w:rPr>
              <w:t>Writing Support for Students</w:t>
            </w:r>
            <w:r>
              <w:rPr>
                <w:rStyle w:val="None"/>
                <w:b/>
                <w:bCs/>
              </w:rPr>
              <w:t>:</w:t>
            </w:r>
          </w:p>
          <w:p w:rsidR="006508B5" w:rsidRDefault="0048726C">
            <w:pPr>
              <w:pStyle w:val="Body"/>
              <w:spacing w:after="0" w:line="240" w:lineRule="auto"/>
              <w:rPr>
                <w:rStyle w:val="None"/>
                <w:b/>
                <w:bCs/>
              </w:rPr>
            </w:pPr>
            <w:hyperlink r:id="rId28" w:history="1">
              <w:r>
                <w:rPr>
                  <w:rStyle w:val="Hyperlink4"/>
                </w:rPr>
                <w:t xml:space="preserve">MLA </w:t>
              </w:r>
              <w:r>
                <w:rPr>
                  <w:rStyle w:val="Hyperlink4"/>
                </w:rPr>
                <w:t>Documentation</w:t>
              </w:r>
            </w:hyperlink>
          </w:p>
          <w:p w:rsidR="006508B5" w:rsidRDefault="006508B5">
            <w:pPr>
              <w:pStyle w:val="Body"/>
              <w:spacing w:after="0" w:line="240" w:lineRule="auto"/>
              <w:rPr>
                <w:rStyle w:val="None"/>
              </w:rPr>
            </w:pPr>
          </w:p>
          <w:p w:rsidR="006508B5" w:rsidRDefault="0048726C">
            <w:pPr>
              <w:pStyle w:val="Body"/>
              <w:spacing w:after="0" w:line="240" w:lineRule="auto"/>
              <w:rPr>
                <w:rStyle w:val="None"/>
                <w:b/>
                <w:bCs/>
                <w:u w:val="single"/>
              </w:rPr>
            </w:pPr>
            <w:r>
              <w:rPr>
                <w:rStyle w:val="None"/>
                <w:b/>
                <w:bCs/>
                <w:u w:val="single"/>
              </w:rPr>
              <w:t>Sample Writing Task:</w:t>
            </w:r>
          </w:p>
          <w:p w:rsidR="006508B5" w:rsidRDefault="0048726C">
            <w:pPr>
              <w:pStyle w:val="Body"/>
              <w:spacing w:after="0" w:line="240" w:lineRule="auto"/>
              <w:rPr>
                <w:rStyle w:val="None"/>
              </w:rPr>
            </w:pPr>
            <w:r>
              <w:rPr>
                <w:rStyle w:val="None"/>
              </w:rPr>
              <w:t>Based on the anchor texts you read this quarter and your own experiences, write an analytical essay that explains how our relationships with others can help define who we are.</w:t>
            </w:r>
          </w:p>
          <w:p w:rsidR="006508B5" w:rsidRDefault="006508B5">
            <w:pPr>
              <w:pStyle w:val="Body"/>
              <w:spacing w:after="0" w:line="240" w:lineRule="auto"/>
            </w:pPr>
          </w:p>
        </w:tc>
      </w:tr>
      <w:tr w:rsidR="006508B5">
        <w:trPr>
          <w:trHeight w:val="260"/>
        </w:trPr>
        <w:tc>
          <w:tcPr>
            <w:tcW w:w="2220" w:type="dxa"/>
            <w:vMerge w:val="restart"/>
            <w:tcBorders>
              <w:top w:val="single" w:sz="24" w:space="0" w:color="000000"/>
              <w:left w:val="single" w:sz="24" w:space="0" w:color="000000"/>
              <w:bottom w:val="single" w:sz="24" w:space="0" w:color="000000"/>
              <w:right w:val="single" w:sz="4" w:space="0" w:color="000000"/>
            </w:tcBorders>
            <w:shd w:val="clear" w:color="auto" w:fill="auto"/>
            <w:tcMar>
              <w:top w:w="80" w:type="dxa"/>
              <w:left w:w="80" w:type="dxa"/>
              <w:bottom w:w="80" w:type="dxa"/>
              <w:right w:w="80" w:type="dxa"/>
            </w:tcMar>
            <w:vAlign w:val="center"/>
          </w:tcPr>
          <w:p w:rsidR="006508B5" w:rsidRDefault="0048726C">
            <w:pPr>
              <w:pStyle w:val="Body"/>
              <w:spacing w:after="0" w:line="240" w:lineRule="auto"/>
              <w:jc w:val="center"/>
              <w:rPr>
                <w:rStyle w:val="None"/>
                <w:b/>
                <w:bCs/>
              </w:rPr>
            </w:pPr>
            <w:r>
              <w:rPr>
                <w:rStyle w:val="None"/>
                <w:b/>
                <w:bCs/>
              </w:rPr>
              <w:t>Quarter 3</w:t>
            </w:r>
          </w:p>
          <w:p w:rsidR="006508B5" w:rsidRDefault="0048726C">
            <w:pPr>
              <w:pStyle w:val="Body"/>
              <w:spacing w:after="0" w:line="240" w:lineRule="auto"/>
              <w:jc w:val="center"/>
              <w:rPr>
                <w:rStyle w:val="None"/>
                <w:b/>
                <w:bCs/>
              </w:rPr>
            </w:pPr>
            <w:r>
              <w:rPr>
                <w:rStyle w:val="None"/>
                <w:b/>
                <w:bCs/>
              </w:rPr>
              <w:lastRenderedPageBreak/>
              <w:t>Jan 7 – Mar 14</w:t>
            </w:r>
          </w:p>
          <w:p w:rsidR="006508B5" w:rsidRDefault="006508B5">
            <w:pPr>
              <w:pStyle w:val="Body"/>
              <w:spacing w:after="0" w:line="240" w:lineRule="auto"/>
              <w:jc w:val="center"/>
              <w:rPr>
                <w:rStyle w:val="None"/>
              </w:rPr>
            </w:pPr>
          </w:p>
          <w:p w:rsidR="006508B5" w:rsidRDefault="006508B5">
            <w:pPr>
              <w:pStyle w:val="Body"/>
              <w:spacing w:after="0" w:line="240" w:lineRule="auto"/>
              <w:jc w:val="center"/>
              <w:rPr>
                <w:rStyle w:val="None"/>
              </w:rPr>
            </w:pPr>
          </w:p>
          <w:p w:rsidR="006508B5" w:rsidRDefault="006508B5">
            <w:pPr>
              <w:pStyle w:val="Body"/>
              <w:spacing w:after="0" w:line="240" w:lineRule="auto"/>
              <w:jc w:val="center"/>
            </w:pPr>
          </w:p>
        </w:tc>
        <w:tc>
          <w:tcPr>
            <w:tcW w:w="7560" w:type="dxa"/>
            <w:tcBorders>
              <w:top w:val="single" w:sz="24" w:space="0" w:color="000000"/>
              <w:left w:val="single" w:sz="4" w:space="0" w:color="000000"/>
              <w:bottom w:val="single" w:sz="8" w:space="0" w:color="000000"/>
              <w:right w:val="single" w:sz="4" w:space="0" w:color="000000"/>
            </w:tcBorders>
            <w:shd w:val="clear" w:color="auto" w:fill="FFC000"/>
            <w:tcMar>
              <w:top w:w="80" w:type="dxa"/>
              <w:left w:w="80" w:type="dxa"/>
              <w:bottom w:w="80" w:type="dxa"/>
              <w:right w:w="80" w:type="dxa"/>
            </w:tcMar>
            <w:vAlign w:val="center"/>
          </w:tcPr>
          <w:p w:rsidR="006508B5" w:rsidRDefault="0048726C">
            <w:pPr>
              <w:pStyle w:val="Body"/>
              <w:spacing w:after="0" w:line="240" w:lineRule="auto"/>
              <w:jc w:val="center"/>
            </w:pPr>
            <w:r>
              <w:rPr>
                <w:rStyle w:val="None"/>
                <w:b/>
                <w:bCs/>
              </w:rPr>
              <w:lastRenderedPageBreak/>
              <w:t xml:space="preserve">Key </w:t>
            </w:r>
            <w:r>
              <w:rPr>
                <w:rStyle w:val="None"/>
                <w:b/>
                <w:bCs/>
              </w:rPr>
              <w:t>Standards Covered</w:t>
            </w:r>
          </w:p>
        </w:tc>
        <w:tc>
          <w:tcPr>
            <w:tcW w:w="3120" w:type="dxa"/>
            <w:tcBorders>
              <w:top w:val="single" w:sz="24" w:space="0" w:color="000000"/>
              <w:left w:val="single" w:sz="4" w:space="0" w:color="000000"/>
              <w:bottom w:val="single" w:sz="8" w:space="0" w:color="000000"/>
              <w:right w:val="single" w:sz="24" w:space="0" w:color="000000"/>
            </w:tcBorders>
            <w:shd w:val="clear" w:color="auto" w:fill="FFC000"/>
            <w:tcMar>
              <w:top w:w="80" w:type="dxa"/>
              <w:left w:w="80" w:type="dxa"/>
              <w:bottom w:w="80" w:type="dxa"/>
              <w:right w:w="80" w:type="dxa"/>
            </w:tcMar>
          </w:tcPr>
          <w:p w:rsidR="006508B5" w:rsidRDefault="0048726C">
            <w:pPr>
              <w:pStyle w:val="Body"/>
              <w:spacing w:after="0" w:line="240" w:lineRule="auto"/>
              <w:jc w:val="center"/>
            </w:pPr>
            <w:r>
              <w:rPr>
                <w:rStyle w:val="None"/>
                <w:b/>
                <w:bCs/>
              </w:rPr>
              <w:t>Examples of Resources</w:t>
            </w:r>
          </w:p>
        </w:tc>
      </w:tr>
      <w:tr w:rsidR="006508B5">
        <w:trPr>
          <w:trHeight w:val="8571"/>
        </w:trPr>
        <w:tc>
          <w:tcPr>
            <w:tcW w:w="2220" w:type="dxa"/>
            <w:vMerge/>
            <w:tcBorders>
              <w:top w:val="single" w:sz="24" w:space="0" w:color="000000"/>
              <w:left w:val="single" w:sz="24" w:space="0" w:color="000000"/>
              <w:bottom w:val="single" w:sz="24" w:space="0" w:color="000000"/>
              <w:right w:val="single" w:sz="4" w:space="0" w:color="000000"/>
            </w:tcBorders>
            <w:shd w:val="clear" w:color="auto" w:fill="auto"/>
          </w:tcPr>
          <w:p w:rsidR="006508B5" w:rsidRDefault="006508B5"/>
        </w:tc>
        <w:tc>
          <w:tcPr>
            <w:tcW w:w="7560" w:type="dxa"/>
            <w:tcBorders>
              <w:top w:val="single" w:sz="8" w:space="0" w:color="000000"/>
              <w:left w:val="single" w:sz="4" w:space="0" w:color="000000"/>
              <w:bottom w:val="single" w:sz="24" w:space="0" w:color="000000"/>
              <w:right w:val="single" w:sz="4" w:space="0" w:color="000000"/>
            </w:tcBorders>
            <w:shd w:val="clear" w:color="auto" w:fill="auto"/>
            <w:tcMar>
              <w:top w:w="80" w:type="dxa"/>
              <w:left w:w="800" w:type="dxa"/>
              <w:bottom w:w="80" w:type="dxa"/>
              <w:right w:w="80" w:type="dxa"/>
            </w:tcMar>
          </w:tcPr>
          <w:p w:rsidR="006508B5" w:rsidRDefault="0048726C">
            <w:pPr>
              <w:pStyle w:val="ListParagraph"/>
              <w:spacing w:after="0" w:line="240" w:lineRule="auto"/>
              <w:rPr>
                <w:rStyle w:val="None"/>
                <w:b/>
                <w:bCs/>
              </w:rPr>
            </w:pPr>
            <w:r>
              <w:rPr>
                <w:rStyle w:val="None"/>
                <w:b/>
                <w:bCs/>
              </w:rPr>
              <w:t>Students will be able to :</w:t>
            </w:r>
          </w:p>
          <w:p w:rsidR="006508B5" w:rsidRDefault="006508B5">
            <w:pPr>
              <w:pStyle w:val="ListParagraph"/>
              <w:spacing w:after="0" w:line="240" w:lineRule="auto"/>
              <w:rPr>
                <w:rStyle w:val="None"/>
              </w:rPr>
            </w:pPr>
          </w:p>
          <w:p w:rsidR="006508B5" w:rsidRDefault="0048726C">
            <w:pPr>
              <w:pStyle w:val="ListParagraph"/>
              <w:numPr>
                <w:ilvl w:val="0"/>
                <w:numId w:val="5"/>
              </w:numPr>
              <w:spacing w:after="0" w:line="240" w:lineRule="auto"/>
            </w:pPr>
            <w:r>
              <w:rPr>
                <w:rStyle w:val="None"/>
                <w:b/>
                <w:bCs/>
              </w:rPr>
              <w:t> </w:t>
            </w:r>
            <w:r>
              <w:rPr>
                <w:rStyle w:val="None"/>
              </w:rPr>
              <w:t xml:space="preserve">Analyze the representation of a subject or a key scene in two different artistic mediums and various accounts of a subject told in different mediums, determining which details </w:t>
            </w:r>
            <w:proofErr w:type="gramStart"/>
            <w:r>
              <w:rPr>
                <w:rStyle w:val="None"/>
              </w:rPr>
              <w:t>are emphasized</w:t>
            </w:r>
            <w:proofErr w:type="gramEnd"/>
            <w:r>
              <w:rPr>
                <w:rStyle w:val="None"/>
              </w:rPr>
              <w:t xml:space="preserve"> in each account. </w:t>
            </w:r>
            <w:hyperlink r:id="rId29" w:history="1">
              <w:r>
                <w:rPr>
                  <w:rStyle w:val="Hyperlink0"/>
                </w:rPr>
                <w:t xml:space="preserve">LAFS.910.RL.3.7 </w:t>
              </w:r>
            </w:hyperlink>
            <w:r>
              <w:rPr>
                <w:rStyle w:val="None"/>
              </w:rPr>
              <w:t xml:space="preserve">  </w:t>
            </w:r>
            <w:hyperlink r:id="rId30" w:history="1">
              <w:r>
                <w:rPr>
                  <w:rStyle w:val="Hyperlink0"/>
                </w:rPr>
                <w:t>LAFS.910.</w:t>
              </w:r>
              <w:r>
                <w:rPr>
                  <w:rStyle w:val="Hyperlink0"/>
                </w:rPr>
                <w:t xml:space="preserve">RI.3.7 </w:t>
              </w:r>
            </w:hyperlink>
          </w:p>
          <w:p w:rsidR="006508B5" w:rsidRDefault="006508B5">
            <w:pPr>
              <w:pStyle w:val="ListParagraph"/>
              <w:spacing w:after="0" w:line="240" w:lineRule="auto"/>
              <w:ind w:left="765"/>
              <w:rPr>
                <w:rStyle w:val="None"/>
              </w:rPr>
            </w:pPr>
          </w:p>
          <w:p w:rsidR="006508B5" w:rsidRDefault="0048726C">
            <w:pPr>
              <w:pStyle w:val="ListParagraph"/>
              <w:numPr>
                <w:ilvl w:val="0"/>
                <w:numId w:val="6"/>
              </w:numPr>
              <w:spacing w:after="0" w:line="240" w:lineRule="auto"/>
            </w:pPr>
            <w:r>
              <w:rPr>
                <w:rStyle w:val="None"/>
              </w:rPr>
              <w:t> </w:t>
            </w:r>
            <w:r>
              <w:rPr>
                <w:rStyle w:val="None"/>
              </w:rPr>
              <w:t>Analyze how an author draws on and transforms source material in a specific work and delineate/evaluate the argument and specific claims in a text, assessing whether the reasoning is valid and the evidence is relevant and sufficient; identify false stateme</w:t>
            </w:r>
            <w:r>
              <w:rPr>
                <w:rStyle w:val="None"/>
              </w:rPr>
              <w:t xml:space="preserve">nts and fallacious reasoning. </w:t>
            </w:r>
            <w:hyperlink r:id="rId31" w:history="1">
              <w:r>
                <w:rPr>
                  <w:rStyle w:val="Hyperlink0"/>
                </w:rPr>
                <w:t xml:space="preserve">LAFS.910.RL.3.9 </w:t>
              </w:r>
            </w:hyperlink>
            <w:r>
              <w:rPr>
                <w:rStyle w:val="None"/>
              </w:rPr>
              <w:t xml:space="preserve">  </w:t>
            </w:r>
            <w:hyperlink r:id="rId32" w:history="1">
              <w:r>
                <w:rPr>
                  <w:rStyle w:val="Hyperlink0"/>
                </w:rPr>
                <w:t xml:space="preserve">LAFS.910.RI.3.8 </w:t>
              </w:r>
            </w:hyperlink>
            <w:r>
              <w:rPr>
                <w:rStyle w:val="None"/>
              </w:rPr>
              <w:t> </w:t>
            </w:r>
          </w:p>
          <w:p w:rsidR="006508B5" w:rsidRDefault="006508B5">
            <w:pPr>
              <w:pStyle w:val="ListParagraph"/>
              <w:spacing w:after="0" w:line="240" w:lineRule="auto"/>
              <w:ind w:left="765"/>
              <w:rPr>
                <w:rStyle w:val="None"/>
              </w:rPr>
            </w:pPr>
          </w:p>
          <w:p w:rsidR="006508B5" w:rsidRDefault="0048726C">
            <w:pPr>
              <w:pStyle w:val="ListParagraph"/>
              <w:numPr>
                <w:ilvl w:val="0"/>
                <w:numId w:val="7"/>
              </w:numPr>
              <w:spacing w:after="0" w:line="240" w:lineRule="auto"/>
            </w:pPr>
            <w:r>
              <w:rPr>
                <w:rStyle w:val="None"/>
              </w:rPr>
              <w:t> </w:t>
            </w:r>
            <w:r>
              <w:rPr>
                <w:rStyle w:val="None"/>
              </w:rPr>
              <w:t xml:space="preserve">Analyze seminal U.S. documents of historical and literary significance, including how they address related themes and concepts. </w:t>
            </w:r>
            <w:hyperlink r:id="rId33" w:history="1">
              <w:r>
                <w:rPr>
                  <w:rStyle w:val="Hyperlink0"/>
                </w:rPr>
                <w:t xml:space="preserve">LAFS.910.RI.3.9 </w:t>
              </w:r>
            </w:hyperlink>
          </w:p>
          <w:p w:rsidR="006508B5" w:rsidRDefault="006508B5">
            <w:pPr>
              <w:pStyle w:val="ListParagraph"/>
              <w:spacing w:after="0" w:line="240" w:lineRule="auto"/>
              <w:ind w:left="765"/>
              <w:rPr>
                <w:rStyle w:val="None"/>
              </w:rPr>
            </w:pPr>
          </w:p>
          <w:p w:rsidR="006508B5" w:rsidRDefault="0048726C">
            <w:pPr>
              <w:pStyle w:val="ListParagraph"/>
              <w:numPr>
                <w:ilvl w:val="0"/>
                <w:numId w:val="8"/>
              </w:numPr>
              <w:spacing w:after="0" w:line="240" w:lineRule="auto"/>
            </w:pPr>
            <w:r>
              <w:rPr>
                <w:rStyle w:val="None"/>
              </w:rPr>
              <w:t>Demonstrate command of the convention</w:t>
            </w:r>
            <w:r>
              <w:rPr>
                <w:rStyle w:val="None"/>
              </w:rPr>
              <w:t xml:space="preserve">s of </w:t>
            </w:r>
            <w:proofErr w:type="gramStart"/>
            <w:r>
              <w:rPr>
                <w:rStyle w:val="None"/>
              </w:rPr>
              <w:t>standard</w:t>
            </w:r>
            <w:proofErr w:type="gramEnd"/>
            <w:r>
              <w:rPr>
                <w:rStyle w:val="None"/>
              </w:rPr>
              <w:t xml:space="preserve"> English grammar and usage when writing or speaking and command of the conventions of standard English capitalization, punctuation, and spelling when writing. </w:t>
            </w:r>
            <w:hyperlink r:id="rId34" w:history="1">
              <w:r>
                <w:rPr>
                  <w:rStyle w:val="Hyperlink0"/>
                </w:rPr>
                <w:t>LAFS.910.L.1.1</w:t>
              </w:r>
              <w:r>
                <w:rPr>
                  <w:rStyle w:val="Hyperlink0"/>
                </w:rPr>
                <w:t>:</w:t>
              </w:r>
            </w:hyperlink>
            <w:r>
              <w:rPr>
                <w:rStyle w:val="None"/>
              </w:rPr>
              <w:t xml:space="preserve">  </w:t>
            </w:r>
            <w:hyperlink r:id="rId35" w:history="1">
              <w:r>
                <w:rPr>
                  <w:rStyle w:val="Hyperlink0"/>
                </w:rPr>
                <w:t>LAFS.910.L.1.2:</w:t>
              </w:r>
            </w:hyperlink>
          </w:p>
          <w:p w:rsidR="006508B5" w:rsidRDefault="006508B5">
            <w:pPr>
              <w:pStyle w:val="ListParagraph"/>
              <w:spacing w:after="0" w:line="240" w:lineRule="auto"/>
              <w:ind w:left="765"/>
            </w:pPr>
          </w:p>
        </w:tc>
        <w:tc>
          <w:tcPr>
            <w:tcW w:w="3120" w:type="dxa"/>
            <w:tcBorders>
              <w:top w:val="single" w:sz="8" w:space="0" w:color="000000"/>
              <w:left w:val="single" w:sz="4" w:space="0" w:color="000000"/>
              <w:bottom w:val="single" w:sz="24" w:space="0" w:color="000000"/>
              <w:right w:val="single" w:sz="24" w:space="0" w:color="000000"/>
            </w:tcBorders>
            <w:shd w:val="clear" w:color="auto" w:fill="auto"/>
            <w:tcMar>
              <w:top w:w="80" w:type="dxa"/>
              <w:left w:w="80" w:type="dxa"/>
              <w:bottom w:w="80" w:type="dxa"/>
              <w:right w:w="80" w:type="dxa"/>
            </w:tcMar>
          </w:tcPr>
          <w:p w:rsidR="006508B5" w:rsidRDefault="0048726C">
            <w:pPr>
              <w:pStyle w:val="Body"/>
              <w:spacing w:after="0" w:line="240" w:lineRule="auto"/>
              <w:rPr>
                <w:rStyle w:val="None"/>
                <w:b/>
                <w:bCs/>
                <w:u w:val="single"/>
              </w:rPr>
            </w:pPr>
            <w:r>
              <w:rPr>
                <w:rStyle w:val="None"/>
                <w:b/>
                <w:bCs/>
                <w:u w:val="single"/>
              </w:rPr>
              <w:t>Example Texts*</w:t>
            </w:r>
          </w:p>
          <w:p w:rsidR="006508B5" w:rsidRDefault="0048726C">
            <w:pPr>
              <w:pStyle w:val="Body"/>
              <w:spacing w:after="0" w:line="240" w:lineRule="auto"/>
              <w:rPr>
                <w:rStyle w:val="None"/>
                <w:b/>
                <w:bCs/>
              </w:rPr>
            </w:pPr>
            <w:r>
              <w:rPr>
                <w:rStyle w:val="None"/>
                <w:i/>
                <w:iCs/>
              </w:rPr>
              <w:t xml:space="preserve">The Tragedy of Macbeth </w:t>
            </w:r>
            <w:r>
              <w:rPr>
                <w:rStyle w:val="None"/>
              </w:rPr>
              <w:t xml:space="preserve">by William Shakespeare book (from class textbook resource </w:t>
            </w:r>
            <w:hyperlink r:id="rId36" w:history="1">
              <w:r>
                <w:rPr>
                  <w:rStyle w:val="Hyperlink4"/>
                </w:rPr>
                <w:t>HMH Collections</w:t>
              </w:r>
            </w:hyperlink>
            <w:r>
              <w:rPr>
                <w:rStyle w:val="None"/>
              </w:rPr>
              <w:t>)</w:t>
            </w:r>
            <w:r>
              <w:rPr>
                <w:rStyle w:val="None"/>
                <w:b/>
                <w:bCs/>
              </w:rPr>
              <w:t xml:space="preserve"> *</w:t>
            </w:r>
          </w:p>
          <w:p w:rsidR="006508B5" w:rsidRDefault="006508B5">
            <w:pPr>
              <w:pStyle w:val="Body"/>
              <w:spacing w:after="0" w:line="240" w:lineRule="auto"/>
              <w:rPr>
                <w:rStyle w:val="None"/>
              </w:rPr>
            </w:pPr>
          </w:p>
          <w:p w:rsidR="006508B5" w:rsidRDefault="0048726C">
            <w:pPr>
              <w:pStyle w:val="Body"/>
              <w:spacing w:after="0" w:line="240" w:lineRule="auto"/>
              <w:rPr>
                <w:rStyle w:val="None"/>
                <w:b/>
                <w:bCs/>
                <w:u w:val="single"/>
              </w:rPr>
            </w:pPr>
            <w:r>
              <w:rPr>
                <w:rStyle w:val="None"/>
                <w:b/>
                <w:bCs/>
                <w:u w:val="single"/>
              </w:rPr>
              <w:t>Reading Support for Students:</w:t>
            </w:r>
          </w:p>
          <w:p w:rsidR="006508B5" w:rsidRDefault="0048726C">
            <w:pPr>
              <w:pStyle w:val="Body"/>
              <w:spacing w:after="0" w:line="240" w:lineRule="auto"/>
              <w:rPr>
                <w:rStyle w:val="None"/>
                <w:b/>
                <w:bCs/>
                <w:color w:val="0563C1"/>
                <w:u w:val="single" w:color="0563C1"/>
              </w:rPr>
            </w:pPr>
            <w:hyperlink r:id="rId37" w:history="1">
              <w:r>
                <w:rPr>
                  <w:rStyle w:val="Hyperlink3"/>
                  <w:b/>
                  <w:bCs/>
                </w:rPr>
                <w:t>Shakespearean Dating Tips</w:t>
              </w:r>
            </w:hyperlink>
          </w:p>
          <w:p w:rsidR="006508B5" w:rsidRDefault="0048726C">
            <w:pPr>
              <w:pStyle w:val="Body"/>
              <w:spacing w:after="0" w:line="240" w:lineRule="auto"/>
              <w:rPr>
                <w:rStyle w:val="None"/>
                <w:b/>
                <w:bCs/>
              </w:rPr>
            </w:pPr>
            <w:r>
              <w:rPr>
                <w:rStyle w:val="None"/>
                <w:color w:val="3B414E"/>
                <w:u w:color="3B414E"/>
              </w:rPr>
              <w:t xml:space="preserve">(Students </w:t>
            </w:r>
            <w:r>
              <w:rPr>
                <w:rStyle w:val="None"/>
              </w:rPr>
              <w:t xml:space="preserve">will learn about the </w:t>
            </w:r>
            <w:r>
              <w:rPr>
                <w:rStyle w:val="None"/>
              </w:rPr>
              <w:t xml:space="preserve">modern day relevance of </w:t>
            </w:r>
            <w:proofErr w:type="gramStart"/>
            <w:r>
              <w:rPr>
                <w:rStyle w:val="None"/>
              </w:rPr>
              <w:t>Shakespeare's plays and how the English language has changed over time</w:t>
            </w:r>
            <w:proofErr w:type="gramEnd"/>
            <w:r>
              <w:rPr>
                <w:rStyle w:val="None"/>
              </w:rPr>
              <w:t>.</w:t>
            </w:r>
            <w:r>
              <w:rPr>
                <w:rStyle w:val="None"/>
                <w:color w:val="3B414E"/>
                <w:u w:color="3B414E"/>
              </w:rPr>
              <w:t>)</w:t>
            </w:r>
          </w:p>
          <w:p w:rsidR="006508B5" w:rsidRDefault="006508B5">
            <w:pPr>
              <w:pStyle w:val="Body"/>
              <w:spacing w:after="0" w:line="240" w:lineRule="auto"/>
              <w:rPr>
                <w:rStyle w:val="None"/>
              </w:rPr>
            </w:pPr>
          </w:p>
          <w:p w:rsidR="006508B5" w:rsidRDefault="0048726C">
            <w:pPr>
              <w:pStyle w:val="Body"/>
              <w:spacing w:after="0" w:line="240" w:lineRule="auto"/>
              <w:rPr>
                <w:rStyle w:val="None"/>
                <w:color w:val="0563C1"/>
                <w:u w:val="single" w:color="0563C1"/>
              </w:rPr>
            </w:pPr>
            <w:hyperlink r:id="rId38" w:history="1">
              <w:r>
                <w:rPr>
                  <w:rStyle w:val="Hyperlink0"/>
                </w:rPr>
                <w:t>Formal and Informal Speaking</w:t>
              </w:r>
            </w:hyperlink>
          </w:p>
          <w:p w:rsidR="006508B5" w:rsidRDefault="0048726C">
            <w:pPr>
              <w:pStyle w:val="Body"/>
              <w:spacing w:after="0" w:line="240" w:lineRule="auto"/>
              <w:rPr>
                <w:rStyle w:val="None"/>
              </w:rPr>
            </w:pPr>
            <w:r>
              <w:rPr>
                <w:rStyle w:val="None"/>
              </w:rPr>
              <w:t xml:space="preserve">(Students will learn how to organize and </w:t>
            </w:r>
            <w:r>
              <w:rPr>
                <w:rStyle w:val="None"/>
              </w:rPr>
              <w:t>express through a short video, multi-level tutorial options, worksheets and answer keys, a game, and interactive quizzes to encourage debate and  responding to others' views.)</w:t>
            </w:r>
          </w:p>
          <w:p w:rsidR="006508B5" w:rsidRDefault="006508B5">
            <w:pPr>
              <w:pStyle w:val="Body"/>
              <w:spacing w:after="0" w:line="240" w:lineRule="auto"/>
              <w:rPr>
                <w:rStyle w:val="None"/>
              </w:rPr>
            </w:pPr>
          </w:p>
          <w:p w:rsidR="006508B5" w:rsidRDefault="0048726C">
            <w:pPr>
              <w:pStyle w:val="Body"/>
              <w:spacing w:after="0" w:line="240" w:lineRule="auto"/>
              <w:rPr>
                <w:rStyle w:val="None"/>
              </w:rPr>
            </w:pPr>
            <w:hyperlink r:id="rId39" w:history="1">
              <w:r>
                <w:rPr>
                  <w:rStyle w:val="Hyperlink0"/>
                </w:rPr>
                <w:t>State your Claim</w:t>
              </w:r>
            </w:hyperlink>
            <w:r>
              <w:rPr>
                <w:rStyle w:val="None"/>
              </w:rPr>
              <w:t xml:space="preserve"> </w:t>
            </w:r>
          </w:p>
          <w:p w:rsidR="006508B5" w:rsidRDefault="0048726C">
            <w:pPr>
              <w:pStyle w:val="Body"/>
              <w:spacing w:after="0" w:line="240" w:lineRule="auto"/>
              <w:rPr>
                <w:rStyle w:val="None"/>
              </w:rPr>
            </w:pPr>
            <w:r>
              <w:rPr>
                <w:rStyle w:val="None"/>
              </w:rPr>
              <w:t>(Students can practice writing argument essays in preparation for FSA writing)</w:t>
            </w:r>
          </w:p>
          <w:p w:rsidR="006508B5" w:rsidRDefault="006508B5">
            <w:pPr>
              <w:pStyle w:val="Body"/>
              <w:spacing w:after="0" w:line="240" w:lineRule="auto"/>
              <w:rPr>
                <w:rStyle w:val="None"/>
                <w:b/>
                <w:bCs/>
              </w:rPr>
            </w:pPr>
          </w:p>
          <w:p w:rsidR="006508B5" w:rsidRDefault="0048726C">
            <w:pPr>
              <w:pStyle w:val="Body"/>
              <w:spacing w:after="0" w:line="240" w:lineRule="auto"/>
              <w:rPr>
                <w:rStyle w:val="None"/>
                <w:color w:val="0563C1"/>
                <w:u w:val="single" w:color="0563C1"/>
              </w:rPr>
            </w:pPr>
            <w:r>
              <w:rPr>
                <w:rStyle w:val="None"/>
              </w:rPr>
              <w:t xml:space="preserve"> </w:t>
            </w:r>
            <w:hyperlink r:id="rId40" w:history="1">
              <w:r>
                <w:rPr>
                  <w:rStyle w:val="Hyperlink0"/>
                </w:rPr>
                <w:t>See FSA Portal for writing samples and resources!</w:t>
              </w:r>
            </w:hyperlink>
          </w:p>
          <w:p w:rsidR="006508B5" w:rsidRDefault="006508B5">
            <w:pPr>
              <w:pStyle w:val="Body"/>
              <w:spacing w:after="0" w:line="240" w:lineRule="auto"/>
            </w:pPr>
          </w:p>
        </w:tc>
      </w:tr>
      <w:tr w:rsidR="006508B5">
        <w:trPr>
          <w:trHeight w:val="260"/>
        </w:trPr>
        <w:tc>
          <w:tcPr>
            <w:tcW w:w="2220" w:type="dxa"/>
            <w:vMerge w:val="restart"/>
            <w:tcBorders>
              <w:top w:val="single" w:sz="24" w:space="0" w:color="000000"/>
              <w:left w:val="single" w:sz="2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508B5" w:rsidRDefault="0048726C">
            <w:pPr>
              <w:pStyle w:val="Body"/>
              <w:spacing w:after="0" w:line="240" w:lineRule="auto"/>
              <w:jc w:val="center"/>
              <w:rPr>
                <w:rStyle w:val="None"/>
                <w:b/>
                <w:bCs/>
              </w:rPr>
            </w:pPr>
            <w:r>
              <w:rPr>
                <w:rStyle w:val="None"/>
                <w:b/>
                <w:bCs/>
              </w:rPr>
              <w:t>Quarter 4</w:t>
            </w:r>
          </w:p>
          <w:p w:rsidR="006508B5" w:rsidRDefault="0048726C">
            <w:pPr>
              <w:pStyle w:val="Body"/>
              <w:spacing w:after="0" w:line="240" w:lineRule="auto"/>
              <w:jc w:val="center"/>
            </w:pPr>
            <w:r>
              <w:rPr>
                <w:rStyle w:val="None"/>
                <w:b/>
                <w:bCs/>
              </w:rPr>
              <w:lastRenderedPageBreak/>
              <w:t>March 25 – May 24</w:t>
            </w:r>
          </w:p>
        </w:tc>
        <w:tc>
          <w:tcPr>
            <w:tcW w:w="7560" w:type="dxa"/>
            <w:tcBorders>
              <w:top w:val="single" w:sz="24" w:space="0" w:color="000000"/>
              <w:left w:val="single" w:sz="4" w:space="0" w:color="000000"/>
              <w:bottom w:val="single" w:sz="8" w:space="0" w:color="000000"/>
              <w:right w:val="single" w:sz="4" w:space="0" w:color="000000"/>
            </w:tcBorders>
            <w:shd w:val="clear" w:color="auto" w:fill="FFC000"/>
            <w:tcMar>
              <w:top w:w="80" w:type="dxa"/>
              <w:left w:w="80" w:type="dxa"/>
              <w:bottom w:w="80" w:type="dxa"/>
              <w:right w:w="80" w:type="dxa"/>
            </w:tcMar>
            <w:vAlign w:val="center"/>
          </w:tcPr>
          <w:p w:rsidR="006508B5" w:rsidRDefault="0048726C">
            <w:pPr>
              <w:pStyle w:val="Body"/>
              <w:spacing w:after="0" w:line="240" w:lineRule="auto"/>
              <w:jc w:val="center"/>
            </w:pPr>
            <w:r>
              <w:rPr>
                <w:rStyle w:val="None"/>
                <w:b/>
                <w:bCs/>
              </w:rPr>
              <w:lastRenderedPageBreak/>
              <w:t xml:space="preserve">Review Key </w:t>
            </w:r>
            <w:r>
              <w:rPr>
                <w:rStyle w:val="None"/>
                <w:b/>
                <w:bCs/>
              </w:rPr>
              <w:t>Standards as Needed</w:t>
            </w:r>
          </w:p>
        </w:tc>
        <w:tc>
          <w:tcPr>
            <w:tcW w:w="3120" w:type="dxa"/>
            <w:tcBorders>
              <w:top w:val="single" w:sz="24" w:space="0" w:color="000000"/>
              <w:left w:val="single" w:sz="4" w:space="0" w:color="000000"/>
              <w:bottom w:val="single" w:sz="8" w:space="0" w:color="000000"/>
              <w:right w:val="single" w:sz="24" w:space="0" w:color="000000"/>
            </w:tcBorders>
            <w:shd w:val="clear" w:color="auto" w:fill="FFC000"/>
            <w:tcMar>
              <w:top w:w="80" w:type="dxa"/>
              <w:left w:w="80" w:type="dxa"/>
              <w:bottom w:w="80" w:type="dxa"/>
              <w:right w:w="80" w:type="dxa"/>
            </w:tcMar>
            <w:vAlign w:val="center"/>
          </w:tcPr>
          <w:p w:rsidR="006508B5" w:rsidRDefault="0048726C">
            <w:pPr>
              <w:pStyle w:val="Body"/>
              <w:spacing w:after="0" w:line="240" w:lineRule="auto"/>
              <w:jc w:val="center"/>
            </w:pPr>
            <w:r>
              <w:rPr>
                <w:rStyle w:val="None"/>
                <w:b/>
                <w:bCs/>
              </w:rPr>
              <w:t>Examples of Resources</w:t>
            </w:r>
          </w:p>
        </w:tc>
      </w:tr>
      <w:tr w:rsidR="006508B5">
        <w:trPr>
          <w:trHeight w:val="8327"/>
        </w:trPr>
        <w:tc>
          <w:tcPr>
            <w:tcW w:w="2220" w:type="dxa"/>
            <w:vMerge/>
            <w:tcBorders>
              <w:top w:val="single" w:sz="24" w:space="0" w:color="000000"/>
              <w:left w:val="single" w:sz="24" w:space="0" w:color="000000"/>
              <w:bottom w:val="single" w:sz="4" w:space="0" w:color="000000"/>
              <w:right w:val="single" w:sz="4" w:space="0" w:color="000000"/>
            </w:tcBorders>
            <w:shd w:val="clear" w:color="auto" w:fill="auto"/>
          </w:tcPr>
          <w:p w:rsidR="006508B5" w:rsidRDefault="006508B5"/>
        </w:tc>
        <w:tc>
          <w:tcPr>
            <w:tcW w:w="756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08B5" w:rsidRDefault="0048726C">
            <w:pPr>
              <w:pStyle w:val="ListParagraph"/>
              <w:numPr>
                <w:ilvl w:val="0"/>
                <w:numId w:val="9"/>
              </w:numPr>
              <w:spacing w:after="0" w:line="240" w:lineRule="auto"/>
            </w:pPr>
            <w:r>
              <w:rPr>
                <w:rStyle w:val="None"/>
              </w:rPr>
              <w:t xml:space="preserve">Read and comprehend literature, both fiction and non-fiction, in the grades 9-10 text complexity band proficiently. </w:t>
            </w:r>
            <w:hyperlink r:id="rId41" w:history="1">
              <w:r>
                <w:rPr>
                  <w:rStyle w:val="Hyperlink0"/>
                </w:rPr>
                <w:t>LAFS.910.RI.4.10</w:t>
              </w:r>
            </w:hyperlink>
          </w:p>
          <w:p w:rsidR="006508B5" w:rsidRDefault="006508B5">
            <w:pPr>
              <w:pStyle w:val="ListParagraph"/>
              <w:spacing w:after="0" w:line="240" w:lineRule="auto"/>
              <w:rPr>
                <w:rStyle w:val="None"/>
              </w:rPr>
            </w:pPr>
          </w:p>
          <w:p w:rsidR="006508B5" w:rsidRDefault="0048726C">
            <w:pPr>
              <w:pStyle w:val="ListParagraph"/>
              <w:numPr>
                <w:ilvl w:val="0"/>
                <w:numId w:val="9"/>
              </w:numPr>
              <w:spacing w:after="0" w:line="240" w:lineRule="auto"/>
            </w:pPr>
            <w:r>
              <w:rPr>
                <w:rStyle w:val="None"/>
              </w:rPr>
              <w:t xml:space="preserve">Integrate multiple sources of information presented in diverse media or formats evaluating the credibility and accuracy of each source. </w:t>
            </w:r>
            <w:hyperlink r:id="rId42" w:history="1">
              <w:r>
                <w:rPr>
                  <w:rStyle w:val="Hyperlink0"/>
                </w:rPr>
                <w:t>LAFS.910.SL.2.5</w:t>
              </w:r>
            </w:hyperlink>
          </w:p>
          <w:p w:rsidR="006508B5" w:rsidRDefault="006508B5">
            <w:pPr>
              <w:pStyle w:val="ListParagraph"/>
              <w:spacing w:after="0" w:line="240" w:lineRule="auto"/>
              <w:rPr>
                <w:rStyle w:val="None"/>
              </w:rPr>
            </w:pPr>
          </w:p>
          <w:p w:rsidR="006508B5" w:rsidRDefault="0048726C">
            <w:pPr>
              <w:pStyle w:val="ListParagraph"/>
              <w:numPr>
                <w:ilvl w:val="0"/>
                <w:numId w:val="9"/>
              </w:numPr>
              <w:spacing w:after="0" w:line="240" w:lineRule="auto"/>
            </w:pPr>
            <w:r>
              <w:rPr>
                <w:rStyle w:val="None"/>
              </w:rPr>
              <w:t xml:space="preserve">Engage effectively in a range </w:t>
            </w:r>
            <w:r>
              <w:rPr>
                <w:rStyle w:val="None"/>
              </w:rPr>
              <w:t xml:space="preserve">of collaborative discussions. </w:t>
            </w:r>
            <w:hyperlink r:id="rId43" w:history="1">
              <w:r>
                <w:rPr>
                  <w:rStyle w:val="Hyperlink0"/>
                </w:rPr>
                <w:t>LAFS.910.SL.1.1</w:t>
              </w:r>
            </w:hyperlink>
          </w:p>
          <w:p w:rsidR="006508B5" w:rsidRDefault="006508B5">
            <w:pPr>
              <w:pStyle w:val="ListParagraph"/>
              <w:spacing w:after="0" w:line="240" w:lineRule="auto"/>
              <w:rPr>
                <w:rStyle w:val="None"/>
              </w:rPr>
            </w:pPr>
          </w:p>
          <w:p w:rsidR="006508B5" w:rsidRDefault="0048726C">
            <w:pPr>
              <w:pStyle w:val="ListParagraph"/>
              <w:numPr>
                <w:ilvl w:val="0"/>
                <w:numId w:val="9"/>
              </w:numPr>
              <w:spacing w:after="0" w:line="240" w:lineRule="auto"/>
            </w:pPr>
            <w:r>
              <w:rPr>
                <w:rStyle w:val="None"/>
              </w:rPr>
              <w:t xml:space="preserve">Demonstrate command of the conventions of Standard English. </w:t>
            </w:r>
            <w:hyperlink r:id="rId44" w:history="1">
              <w:r>
                <w:rPr>
                  <w:rStyle w:val="Hyperlink0"/>
                </w:rPr>
                <w:t>LAFS.9</w:t>
              </w:r>
              <w:r>
                <w:rPr>
                  <w:rStyle w:val="Hyperlink0"/>
                </w:rPr>
                <w:t>10.L.1.1</w:t>
              </w:r>
            </w:hyperlink>
            <w:r>
              <w:rPr>
                <w:rStyle w:val="None"/>
              </w:rPr>
              <w:t xml:space="preserve"> </w:t>
            </w:r>
          </w:p>
          <w:p w:rsidR="006508B5" w:rsidRDefault="0048726C">
            <w:pPr>
              <w:pStyle w:val="ListParagraph"/>
              <w:spacing w:after="0" w:line="240" w:lineRule="auto"/>
              <w:rPr>
                <w:rStyle w:val="None"/>
                <w:u w:val="single"/>
              </w:rPr>
            </w:pPr>
            <w:hyperlink r:id="rId45" w:history="1">
              <w:r>
                <w:rPr>
                  <w:rStyle w:val="Hyperlink0"/>
                </w:rPr>
                <w:t>LAFS.910.L.1.2</w:t>
              </w:r>
            </w:hyperlink>
          </w:p>
          <w:p w:rsidR="006508B5" w:rsidRDefault="006508B5">
            <w:pPr>
              <w:pStyle w:val="ListParagraph"/>
              <w:spacing w:after="0" w:line="240" w:lineRule="auto"/>
              <w:rPr>
                <w:rStyle w:val="None"/>
              </w:rPr>
            </w:pPr>
          </w:p>
          <w:p w:rsidR="006508B5" w:rsidRDefault="0048726C">
            <w:pPr>
              <w:pStyle w:val="ListParagraph"/>
              <w:numPr>
                <w:ilvl w:val="0"/>
                <w:numId w:val="9"/>
              </w:numPr>
              <w:spacing w:after="0" w:line="240" w:lineRule="auto"/>
            </w:pPr>
            <w:r>
              <w:rPr>
                <w:rStyle w:val="None"/>
              </w:rPr>
              <w:t>Present information, findings, and supporting evidence clearly, concisely, and logically such that listeners can follow the line of reasoning and the orga</w:t>
            </w:r>
            <w:r>
              <w:rPr>
                <w:rStyle w:val="None"/>
              </w:rPr>
              <w:t xml:space="preserve">nization, development, substance, and style are appropriate to purpose, audience, and task. </w:t>
            </w:r>
            <w:hyperlink r:id="rId46" w:history="1">
              <w:r>
                <w:rPr>
                  <w:rStyle w:val="Hyperlink0"/>
                </w:rPr>
                <w:t>LAFS.910.SL.2.4</w:t>
              </w:r>
            </w:hyperlink>
          </w:p>
          <w:p w:rsidR="006508B5" w:rsidRDefault="006508B5">
            <w:pPr>
              <w:pStyle w:val="ListParagraph"/>
              <w:spacing w:after="0" w:line="240" w:lineRule="auto"/>
              <w:rPr>
                <w:rStyle w:val="None"/>
              </w:rPr>
            </w:pPr>
          </w:p>
          <w:p w:rsidR="006508B5" w:rsidRDefault="0048726C">
            <w:pPr>
              <w:pStyle w:val="ListParagraph"/>
              <w:numPr>
                <w:ilvl w:val="0"/>
                <w:numId w:val="9"/>
              </w:numPr>
              <w:spacing w:after="0" w:line="240" w:lineRule="auto"/>
            </w:pPr>
            <w:r>
              <w:rPr>
                <w:rStyle w:val="None"/>
              </w:rPr>
              <w:t>Make strategic use of digital media in presentations to enhance understand</w:t>
            </w:r>
            <w:r>
              <w:rPr>
                <w:rStyle w:val="None"/>
              </w:rPr>
              <w:t xml:space="preserve">ing of findings, reasoning, and evidence and to add interest. </w:t>
            </w:r>
            <w:hyperlink r:id="rId47" w:history="1">
              <w:r>
                <w:rPr>
                  <w:rStyle w:val="Hyperlink0"/>
                </w:rPr>
                <w:t>LAFS.910.SL.2.5</w:t>
              </w:r>
            </w:hyperlink>
          </w:p>
        </w:tc>
        <w:tc>
          <w:tcPr>
            <w:tcW w:w="3120" w:type="dxa"/>
            <w:tcBorders>
              <w:top w:val="single" w:sz="8" w:space="0" w:color="000000"/>
              <w:left w:val="single" w:sz="4" w:space="0" w:color="000000"/>
              <w:bottom w:val="nil"/>
              <w:right w:val="single" w:sz="24" w:space="0" w:color="000000"/>
            </w:tcBorders>
            <w:shd w:val="clear" w:color="auto" w:fill="auto"/>
            <w:tcMar>
              <w:top w:w="80" w:type="dxa"/>
              <w:left w:w="80" w:type="dxa"/>
              <w:bottom w:w="80" w:type="dxa"/>
              <w:right w:w="80" w:type="dxa"/>
            </w:tcMar>
          </w:tcPr>
          <w:p w:rsidR="006508B5" w:rsidRDefault="0048726C">
            <w:pPr>
              <w:pStyle w:val="Body"/>
              <w:spacing w:after="0" w:line="240" w:lineRule="auto"/>
              <w:rPr>
                <w:rStyle w:val="None"/>
                <w:b/>
                <w:bCs/>
                <w:u w:val="single"/>
              </w:rPr>
            </w:pPr>
            <w:r>
              <w:rPr>
                <w:rStyle w:val="None"/>
                <w:b/>
                <w:bCs/>
                <w:u w:val="single"/>
              </w:rPr>
              <w:t>Anchor Text*</w:t>
            </w:r>
          </w:p>
          <w:p w:rsidR="006508B5" w:rsidRDefault="006508B5">
            <w:pPr>
              <w:pStyle w:val="Body"/>
              <w:spacing w:after="0" w:line="240" w:lineRule="auto"/>
              <w:rPr>
                <w:rStyle w:val="None"/>
              </w:rPr>
            </w:pPr>
          </w:p>
          <w:p w:rsidR="006508B5" w:rsidRDefault="0048726C">
            <w:pPr>
              <w:pStyle w:val="Body"/>
              <w:spacing w:after="0" w:line="240" w:lineRule="auto"/>
              <w:rPr>
                <w:rStyle w:val="None"/>
              </w:rPr>
            </w:pPr>
            <w:r>
              <w:rPr>
                <w:rStyle w:val="None"/>
              </w:rPr>
              <w:t xml:space="preserve">“Called Out” by Barbara Kingsolver </w:t>
            </w:r>
          </w:p>
          <w:p w:rsidR="006508B5" w:rsidRDefault="0048726C">
            <w:pPr>
              <w:pStyle w:val="Body"/>
              <w:spacing w:after="0" w:line="240" w:lineRule="auto"/>
              <w:rPr>
                <w:rStyle w:val="None"/>
              </w:rPr>
            </w:pPr>
            <w:r>
              <w:rPr>
                <w:rStyle w:val="None"/>
              </w:rPr>
              <w:t xml:space="preserve">                     AND</w:t>
            </w:r>
          </w:p>
          <w:p w:rsidR="006508B5" w:rsidRDefault="0048726C">
            <w:pPr>
              <w:pStyle w:val="Body"/>
              <w:spacing w:after="0" w:line="240" w:lineRule="auto"/>
              <w:rPr>
                <w:rStyle w:val="None"/>
              </w:rPr>
            </w:pPr>
            <w:r>
              <w:rPr>
                <w:rStyle w:val="None"/>
              </w:rPr>
              <w:t>“My Life as a Bat” by Margaret</w:t>
            </w:r>
            <w:r>
              <w:rPr>
                <w:rStyle w:val="None"/>
              </w:rPr>
              <w:t xml:space="preserve"> Atwood</w:t>
            </w:r>
          </w:p>
          <w:p w:rsidR="006508B5" w:rsidRDefault="006508B5">
            <w:pPr>
              <w:pStyle w:val="Body"/>
              <w:spacing w:after="0" w:line="240" w:lineRule="auto"/>
              <w:rPr>
                <w:rStyle w:val="None"/>
                <w:b/>
                <w:bCs/>
              </w:rPr>
            </w:pPr>
          </w:p>
          <w:p w:rsidR="006508B5" w:rsidRDefault="0048726C">
            <w:pPr>
              <w:pStyle w:val="Body"/>
              <w:spacing w:after="0" w:line="240" w:lineRule="auto"/>
              <w:rPr>
                <w:rStyle w:val="None"/>
                <w:b/>
                <w:bCs/>
              </w:rPr>
            </w:pPr>
            <w:r>
              <w:rPr>
                <w:rStyle w:val="None"/>
                <w:b/>
                <w:bCs/>
              </w:rPr>
              <w:t xml:space="preserve">(from class textbook resource </w:t>
            </w:r>
            <w:hyperlink r:id="rId48" w:history="1">
              <w:r>
                <w:rPr>
                  <w:rStyle w:val="Hyperlink3"/>
                  <w:b/>
                  <w:bCs/>
                </w:rPr>
                <w:t>HMH Collections</w:t>
              </w:r>
            </w:hyperlink>
            <w:r>
              <w:rPr>
                <w:rStyle w:val="None"/>
                <w:b/>
                <w:bCs/>
              </w:rPr>
              <w:t>) *</w:t>
            </w:r>
          </w:p>
          <w:p w:rsidR="006508B5" w:rsidRDefault="006508B5">
            <w:pPr>
              <w:pStyle w:val="Body"/>
              <w:spacing w:after="0" w:line="240" w:lineRule="auto"/>
              <w:rPr>
                <w:rStyle w:val="None"/>
                <w:b/>
                <w:bCs/>
              </w:rPr>
            </w:pPr>
          </w:p>
          <w:p w:rsidR="006508B5" w:rsidRDefault="0048726C">
            <w:pPr>
              <w:pStyle w:val="Body"/>
              <w:spacing w:after="0" w:line="240" w:lineRule="auto"/>
              <w:rPr>
                <w:rStyle w:val="None"/>
              </w:rPr>
            </w:pPr>
            <w:r>
              <w:rPr>
                <w:rStyle w:val="None"/>
                <w:b/>
                <w:bCs/>
              </w:rPr>
              <w:t>Reading Support for Students:</w:t>
            </w:r>
          </w:p>
          <w:p w:rsidR="006508B5" w:rsidRDefault="0048726C">
            <w:pPr>
              <w:pStyle w:val="Body"/>
              <w:spacing w:after="0" w:line="240" w:lineRule="auto"/>
              <w:rPr>
                <w:rStyle w:val="None"/>
                <w:color w:val="0563C1"/>
                <w:u w:val="single" w:color="0563C1"/>
              </w:rPr>
            </w:pPr>
            <w:hyperlink r:id="rId49" w:history="1">
              <w:r>
                <w:rPr>
                  <w:rStyle w:val="Hyperlink0"/>
                </w:rPr>
                <w:t xml:space="preserve">The Art of the Metaphor: </w:t>
              </w:r>
            </w:hyperlink>
          </w:p>
          <w:p w:rsidR="006508B5" w:rsidRDefault="0048726C">
            <w:pPr>
              <w:pStyle w:val="NormalWeb"/>
              <w:rPr>
                <w:rStyle w:val="None"/>
                <w:rFonts w:ascii="Calibri" w:eastAsia="Calibri" w:hAnsi="Calibri" w:cs="Calibri"/>
                <w:sz w:val="22"/>
                <w:szCs w:val="22"/>
              </w:rPr>
            </w:pPr>
            <w:r>
              <w:rPr>
                <w:rStyle w:val="None"/>
                <w:rFonts w:ascii="Calibri" w:hAnsi="Calibri"/>
                <w:sz w:val="22"/>
                <w:szCs w:val="22"/>
              </w:rPr>
              <w:t xml:space="preserve">In this animated video from </w:t>
            </w:r>
            <w:proofErr w:type="spellStart"/>
            <w:r>
              <w:rPr>
                <w:rStyle w:val="None"/>
                <w:rFonts w:ascii="Calibri" w:hAnsi="Calibri"/>
                <w:sz w:val="22"/>
                <w:szCs w:val="22"/>
              </w:rPr>
              <w:t>TEDed</w:t>
            </w:r>
            <w:proofErr w:type="spellEnd"/>
            <w:r>
              <w:rPr>
                <w:rStyle w:val="None"/>
                <w:rFonts w:ascii="Calibri" w:hAnsi="Calibri"/>
                <w:sz w:val="22"/>
                <w:szCs w:val="22"/>
              </w:rPr>
              <w:t xml:space="preserve">, you will learn about the power of metaphors in your reading and in your writing. The video explores questions </w:t>
            </w:r>
            <w:proofErr w:type="gramStart"/>
            <w:r>
              <w:rPr>
                <w:rStyle w:val="None"/>
                <w:rFonts w:ascii="Calibri" w:hAnsi="Calibri"/>
                <w:sz w:val="22"/>
                <w:szCs w:val="22"/>
              </w:rPr>
              <w:t>like:</w:t>
            </w:r>
            <w:proofErr w:type="gramEnd"/>
            <w:r>
              <w:rPr>
                <w:rStyle w:val="None"/>
                <w:rFonts w:ascii="Calibri" w:hAnsi="Calibri"/>
                <w:sz w:val="22"/>
                <w:szCs w:val="22"/>
              </w:rPr>
              <w:t xml:space="preserve"> "How do metaphors help us better understand the</w:t>
            </w:r>
            <w:r>
              <w:rPr>
                <w:rStyle w:val="None"/>
                <w:rFonts w:ascii="Calibri" w:hAnsi="Calibri"/>
                <w:sz w:val="22"/>
                <w:szCs w:val="22"/>
              </w:rPr>
              <w:t xml:space="preserve"> world?", as well as "What makes a good metaphor?"</w:t>
            </w:r>
          </w:p>
          <w:p w:rsidR="006508B5" w:rsidRDefault="0048726C">
            <w:pPr>
              <w:pStyle w:val="Body"/>
              <w:spacing w:after="0" w:line="240" w:lineRule="auto"/>
              <w:rPr>
                <w:rStyle w:val="None"/>
                <w:b/>
                <w:bCs/>
                <w:u w:val="single"/>
              </w:rPr>
            </w:pPr>
            <w:r>
              <w:rPr>
                <w:rStyle w:val="None"/>
                <w:b/>
                <w:bCs/>
                <w:u w:val="single"/>
              </w:rPr>
              <w:t>Sample Writing Task:</w:t>
            </w:r>
          </w:p>
          <w:p w:rsidR="006508B5" w:rsidRDefault="0048726C">
            <w:pPr>
              <w:pStyle w:val="Body"/>
              <w:spacing w:after="0" w:line="240" w:lineRule="auto"/>
            </w:pPr>
            <w:r>
              <w:rPr>
                <w:rStyle w:val="None"/>
              </w:rPr>
              <w:t>4</w:t>
            </w:r>
            <w:r>
              <w:rPr>
                <w:rStyle w:val="None"/>
                <w:vertAlign w:val="superscript"/>
              </w:rPr>
              <w:t>th</w:t>
            </w:r>
            <w:r>
              <w:rPr>
                <w:rStyle w:val="None"/>
              </w:rPr>
              <w:t xml:space="preserve"> quarter offers opportunity for creative writing, i.e. poetry, memoir, and narratives to encourage student exploration of themselves and the world through their writing. </w:t>
            </w:r>
          </w:p>
        </w:tc>
      </w:tr>
    </w:tbl>
    <w:p w:rsidR="006508B5" w:rsidRDefault="006508B5">
      <w:pPr>
        <w:pStyle w:val="Body"/>
        <w:widowControl w:val="0"/>
        <w:spacing w:line="240" w:lineRule="auto"/>
      </w:pPr>
    </w:p>
    <w:sectPr w:rsidR="006508B5">
      <w:headerReference w:type="default" r:id="rId50"/>
      <w:footerReference w:type="default" r:id="rId51"/>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26C" w:rsidRDefault="0048726C">
      <w:r>
        <w:separator/>
      </w:r>
    </w:p>
  </w:endnote>
  <w:endnote w:type="continuationSeparator" w:id="0">
    <w:p w:rsidR="0048726C" w:rsidRDefault="0048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8B5" w:rsidRDefault="006508B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26C" w:rsidRDefault="0048726C">
      <w:r>
        <w:separator/>
      </w:r>
    </w:p>
  </w:footnote>
  <w:footnote w:type="continuationSeparator" w:id="0">
    <w:p w:rsidR="0048726C" w:rsidRDefault="00487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8B5" w:rsidRDefault="006508B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144C"/>
    <w:multiLevelType w:val="hybridMultilevel"/>
    <w:tmpl w:val="C6788A92"/>
    <w:lvl w:ilvl="0" w:tplc="73564EA4">
      <w:start w:val="1"/>
      <w:numFmt w:val="bullet"/>
      <w:lvlText w:val="·"/>
      <w:lvlJc w:val="left"/>
      <w:pPr>
        <w:ind w:left="76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380238">
      <w:start w:val="1"/>
      <w:numFmt w:val="bullet"/>
      <w:lvlText w:val="o"/>
      <w:lvlJc w:val="left"/>
      <w:pPr>
        <w:ind w:left="14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8CBF90">
      <w:start w:val="1"/>
      <w:numFmt w:val="bullet"/>
      <w:lvlText w:val="▪"/>
      <w:lvlJc w:val="left"/>
      <w:pPr>
        <w:ind w:left="22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644C62">
      <w:start w:val="1"/>
      <w:numFmt w:val="bullet"/>
      <w:lvlText w:val="·"/>
      <w:lvlJc w:val="left"/>
      <w:pPr>
        <w:ind w:left="29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12FBBA">
      <w:start w:val="1"/>
      <w:numFmt w:val="bullet"/>
      <w:lvlText w:val="o"/>
      <w:lvlJc w:val="left"/>
      <w:pPr>
        <w:ind w:left="36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5E2BD8">
      <w:start w:val="1"/>
      <w:numFmt w:val="bullet"/>
      <w:lvlText w:val="▪"/>
      <w:lvlJc w:val="left"/>
      <w:pPr>
        <w:ind w:left="43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C0343E">
      <w:start w:val="1"/>
      <w:numFmt w:val="bullet"/>
      <w:lvlText w:val="·"/>
      <w:lvlJc w:val="left"/>
      <w:pPr>
        <w:ind w:left="50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82D076">
      <w:start w:val="1"/>
      <w:numFmt w:val="bullet"/>
      <w:lvlText w:val="o"/>
      <w:lvlJc w:val="left"/>
      <w:pPr>
        <w:ind w:left="58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7BE71E0">
      <w:start w:val="1"/>
      <w:numFmt w:val="bullet"/>
      <w:lvlText w:val="▪"/>
      <w:lvlJc w:val="left"/>
      <w:pPr>
        <w:ind w:left="65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59E0B23"/>
    <w:multiLevelType w:val="hybridMultilevel"/>
    <w:tmpl w:val="D7C64B32"/>
    <w:lvl w:ilvl="0" w:tplc="3EA21C9E">
      <w:start w:val="1"/>
      <w:numFmt w:val="bullet"/>
      <w:lvlText w:val="·"/>
      <w:lvlJc w:val="left"/>
      <w:pPr>
        <w:ind w:left="76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6021B2">
      <w:start w:val="1"/>
      <w:numFmt w:val="bullet"/>
      <w:lvlText w:val="o"/>
      <w:lvlJc w:val="left"/>
      <w:pPr>
        <w:ind w:left="14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623C26">
      <w:start w:val="1"/>
      <w:numFmt w:val="bullet"/>
      <w:lvlText w:val="▪"/>
      <w:lvlJc w:val="left"/>
      <w:pPr>
        <w:ind w:left="22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BC81A6">
      <w:start w:val="1"/>
      <w:numFmt w:val="bullet"/>
      <w:lvlText w:val="·"/>
      <w:lvlJc w:val="left"/>
      <w:pPr>
        <w:ind w:left="29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604A12">
      <w:start w:val="1"/>
      <w:numFmt w:val="bullet"/>
      <w:lvlText w:val="o"/>
      <w:lvlJc w:val="left"/>
      <w:pPr>
        <w:ind w:left="36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D0053E">
      <w:start w:val="1"/>
      <w:numFmt w:val="bullet"/>
      <w:lvlText w:val="▪"/>
      <w:lvlJc w:val="left"/>
      <w:pPr>
        <w:ind w:left="43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E81D62">
      <w:start w:val="1"/>
      <w:numFmt w:val="bullet"/>
      <w:lvlText w:val="·"/>
      <w:lvlJc w:val="left"/>
      <w:pPr>
        <w:ind w:left="50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CC8FCA2">
      <w:start w:val="1"/>
      <w:numFmt w:val="bullet"/>
      <w:lvlText w:val="o"/>
      <w:lvlJc w:val="left"/>
      <w:pPr>
        <w:ind w:left="58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A63BDA">
      <w:start w:val="1"/>
      <w:numFmt w:val="bullet"/>
      <w:lvlText w:val="▪"/>
      <w:lvlJc w:val="left"/>
      <w:pPr>
        <w:ind w:left="65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0102F2F"/>
    <w:multiLevelType w:val="hybridMultilevel"/>
    <w:tmpl w:val="A47E1DB4"/>
    <w:lvl w:ilvl="0" w:tplc="CF9AF7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FEF4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1C6EC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9288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F452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5AD8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3426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E7E2A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9C25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0952C05"/>
    <w:multiLevelType w:val="hybridMultilevel"/>
    <w:tmpl w:val="D5803E08"/>
    <w:lvl w:ilvl="0" w:tplc="1C14AE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F42C2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B4FE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3E49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7016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60285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B036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98AF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0C07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FC719A5"/>
    <w:multiLevelType w:val="hybridMultilevel"/>
    <w:tmpl w:val="FFF887A8"/>
    <w:lvl w:ilvl="0" w:tplc="A9EC50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3C5A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0484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3426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5CEC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E22E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D0AB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CCA3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888B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4E171C4"/>
    <w:multiLevelType w:val="hybridMultilevel"/>
    <w:tmpl w:val="8D380FF4"/>
    <w:lvl w:ilvl="0" w:tplc="701A1C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9650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F72B5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8C37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DAD7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4050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146B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CA54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78EA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051555F"/>
    <w:multiLevelType w:val="hybridMultilevel"/>
    <w:tmpl w:val="E4F2C862"/>
    <w:lvl w:ilvl="0" w:tplc="08CCC9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6EBA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56C1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0E78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A8C8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C4D7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223A7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92DD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CC83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0B2561E"/>
    <w:multiLevelType w:val="hybridMultilevel"/>
    <w:tmpl w:val="F0AEDD96"/>
    <w:lvl w:ilvl="0" w:tplc="5BB49E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C453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EA76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9A70D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82FE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78ED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DECC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E096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04B2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A841005"/>
    <w:multiLevelType w:val="hybridMultilevel"/>
    <w:tmpl w:val="87EE5112"/>
    <w:lvl w:ilvl="0" w:tplc="9D52F3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EE46E5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4B6F7C6">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1A80406">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B1641E6">
      <w:start w:val="1"/>
      <w:numFmt w:val="bullet"/>
      <w:lvlText w:val="▪"/>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FDED6AE">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38CE514">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734C964">
      <w:start w:val="1"/>
      <w:numFmt w:val="bullet"/>
      <w:lvlText w:val="▪"/>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3EADAB8">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8"/>
  </w:num>
  <w:num w:numId="2">
    <w:abstractNumId w:val="2"/>
  </w:num>
  <w:num w:numId="3">
    <w:abstractNumId w:val="4"/>
  </w:num>
  <w:num w:numId="4">
    <w:abstractNumId w:val="1"/>
  </w:num>
  <w:num w:numId="5">
    <w:abstractNumId w:val="5"/>
  </w:num>
  <w:num w:numId="6">
    <w:abstractNumId w:val="6"/>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B5"/>
    <w:rsid w:val="000B5CD7"/>
    <w:rsid w:val="0048726C"/>
    <w:rsid w:val="006508B5"/>
    <w:rsid w:val="006E5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1A57FA-C1A9-4EAD-A6B5-1C033CB4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outline w:val="0"/>
      <w:color w:val="0563C1"/>
      <w:u w:val="single" w:color="0563C1"/>
      <w:lang w:val="en-US"/>
    </w:rPr>
  </w:style>
  <w:style w:type="character" w:customStyle="1" w:styleId="Hyperlink1">
    <w:name w:val="Hyperlink.1"/>
    <w:basedOn w:val="Link"/>
    <w:rPr>
      <w:outline w:val="0"/>
      <w:color w:val="BE6427"/>
      <w:u w:val="single" w:color="0563C1"/>
      <w:lang w:val="en-US"/>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character" w:customStyle="1" w:styleId="None">
    <w:name w:val="None"/>
  </w:style>
  <w:style w:type="character" w:customStyle="1" w:styleId="Hyperlink2">
    <w:name w:val="Hyperlink.2"/>
    <w:basedOn w:val="None"/>
    <w:rPr>
      <w:rFonts w:ascii="Calibri" w:eastAsia="Calibri" w:hAnsi="Calibri" w:cs="Calibri"/>
      <w:outline w:val="0"/>
      <w:color w:val="0563C1"/>
      <w:u w:color="0563C1"/>
      <w:lang w:val="en-US"/>
    </w:rPr>
  </w:style>
  <w:style w:type="character" w:customStyle="1" w:styleId="Hyperlink3">
    <w:name w:val="Hyperlink.3"/>
    <w:basedOn w:val="Link"/>
    <w:rPr>
      <w:outline w:val="0"/>
      <w:color w:val="0563C1"/>
      <w:u w:val="single" w:color="0563C1"/>
      <w:lang w:val="en-US"/>
    </w:rPr>
  </w:style>
  <w:style w:type="character" w:customStyle="1" w:styleId="Hyperlink4">
    <w:name w:val="Hyperlink.4"/>
    <w:basedOn w:val="Link"/>
    <w:rPr>
      <w:rFonts w:ascii="Calibri" w:eastAsia="Calibri" w:hAnsi="Calibri" w:cs="Calibri"/>
      <w:outline w:val="0"/>
      <w:color w:val="0563C1"/>
      <w:u w:val="single" w:color="0563C1"/>
      <w:lang w:val="en-US"/>
    </w:rPr>
  </w:style>
  <w:style w:type="paragraph" w:styleId="NormalWeb">
    <w:name w:val="Normal (Web)"/>
    <w:pPr>
      <w:spacing w:before="100" w:after="100"/>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cpalms.org/Public/PreviewStandard/Preview/5973" TargetMode="External"/><Relationship Id="rId18" Type="http://schemas.openxmlformats.org/officeDocument/2006/relationships/hyperlink" Target="http://grammar.ccc.commnet.edu/grammar/composition/composition.htm" TargetMode="External"/><Relationship Id="rId26" Type="http://schemas.openxmlformats.org/officeDocument/2006/relationships/hyperlink" Target="http://www.cpalms.org/Public/PreviewStandard/Preview/6139" TargetMode="External"/><Relationship Id="rId39" Type="http://schemas.openxmlformats.org/officeDocument/2006/relationships/hyperlink" Target="http://www.floridastudents.org/PreviewResource/StudentResource/118143" TargetMode="External"/><Relationship Id="rId21" Type="http://schemas.openxmlformats.org/officeDocument/2006/relationships/hyperlink" Target="http://www.cpalms.org/Public/PreviewStandard/Preview/5975" TargetMode="External"/><Relationship Id="rId34" Type="http://schemas.openxmlformats.org/officeDocument/2006/relationships/hyperlink" Target="http://www.cpalms.org/Public/PreviewStandard/Preview/6138" TargetMode="External"/><Relationship Id="rId42" Type="http://schemas.openxmlformats.org/officeDocument/2006/relationships/hyperlink" Target="http://www.cpalms.org/Public/PreviewStandard/Preview/6112" TargetMode="External"/><Relationship Id="rId47" Type="http://schemas.openxmlformats.org/officeDocument/2006/relationships/hyperlink" Target="http://www.cpalms.org/Public/PreviewStandard/Preview/6112" TargetMode="External"/><Relationship Id="rId50" Type="http://schemas.openxmlformats.org/officeDocument/2006/relationships/header" Target="header1.xml"/><Relationship Id="rId7" Type="http://schemas.openxmlformats.org/officeDocument/2006/relationships/hyperlink" Target="http://www.fldoe.org/core/fileparse.php/12087/urlt/G9-10_LanguageArts_Florida_Standards_Master.pdf" TargetMode="External"/><Relationship Id="rId2" Type="http://schemas.openxmlformats.org/officeDocument/2006/relationships/styles" Target="styles.xml"/><Relationship Id="rId16" Type="http://schemas.openxmlformats.org/officeDocument/2006/relationships/hyperlink" Target="http://www.cpalms.org/Public/PreviewStandard/Preview/6071" TargetMode="External"/><Relationship Id="rId29" Type="http://schemas.openxmlformats.org/officeDocument/2006/relationships/hyperlink" Target="http://www.cpalms.org/Public/PreviewStandard/Preview/5977" TargetMode="External"/><Relationship Id="rId11" Type="http://schemas.openxmlformats.org/officeDocument/2006/relationships/hyperlink" Target="http://www.cpalms.org/Public/PreviewStandard/Preview/6020" TargetMode="External"/><Relationship Id="rId24" Type="http://schemas.openxmlformats.org/officeDocument/2006/relationships/hyperlink" Target="http://www.cpalms.org/Public/PreviewStandard/Preview/6024" TargetMode="External"/><Relationship Id="rId32" Type="http://schemas.openxmlformats.org/officeDocument/2006/relationships/hyperlink" Target="http://www.cpalms.org/Public/PreviewStandard/Preview/6026" TargetMode="External"/><Relationship Id="rId37" Type="http://schemas.openxmlformats.org/officeDocument/2006/relationships/hyperlink" Target="http://ed.ted.com/lessons/shakespearean-dating-tips-anthony-john-peters#watch" TargetMode="External"/><Relationship Id="rId40" Type="http://schemas.openxmlformats.org/officeDocument/2006/relationships/hyperlink" Target="http://www.fsassessments.org/resources" TargetMode="External"/><Relationship Id="rId45" Type="http://schemas.openxmlformats.org/officeDocument/2006/relationships/hyperlink" Target="http://www.cpalms.org/Public/PreviewStandard/Preview/6139"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www.cpalms.org/Public/PreviewStandard/Preview/6019" TargetMode="External"/><Relationship Id="rId19" Type="http://schemas.openxmlformats.org/officeDocument/2006/relationships/hyperlink" Target="http://www.cpalms.org/Public/PreviewStandard/Preview/5974" TargetMode="External"/><Relationship Id="rId31" Type="http://schemas.openxmlformats.org/officeDocument/2006/relationships/hyperlink" Target="http://www.cpalms.org/Public/PreviewStandard/Preview/5978" TargetMode="External"/><Relationship Id="rId44" Type="http://schemas.openxmlformats.org/officeDocument/2006/relationships/hyperlink" Target="http://www.cpalms.org/Public/PreviewStandard/Preview/6138"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palms.org/Public/PreviewStandard/Preview/5971" TargetMode="External"/><Relationship Id="rId14" Type="http://schemas.openxmlformats.org/officeDocument/2006/relationships/hyperlink" Target="http://www.cpalms.org/Public/PreviewStandard/Preview/6021" TargetMode="External"/><Relationship Id="rId22" Type="http://schemas.openxmlformats.org/officeDocument/2006/relationships/hyperlink" Target="http://www.cpalms.org/Public/PreviewStandard/Preview/6023" TargetMode="External"/><Relationship Id="rId27" Type="http://schemas.openxmlformats.org/officeDocument/2006/relationships/hyperlink" Target="http://www.hmhco.com/shop/education-curriculum/literature-and-language-arts/literature/collections#why" TargetMode="External"/><Relationship Id="rId30" Type="http://schemas.openxmlformats.org/officeDocument/2006/relationships/hyperlink" Target="http://www.cpalms.org/Public/PreviewStandard/Preview/6025" TargetMode="External"/><Relationship Id="rId35" Type="http://schemas.openxmlformats.org/officeDocument/2006/relationships/hyperlink" Target="http://www.cpalms.org/Public/PreviewStandard/Preview/6139" TargetMode="External"/><Relationship Id="rId43" Type="http://schemas.openxmlformats.org/officeDocument/2006/relationships/hyperlink" Target="http://www.cpalms.org/Public/PreviewStandard/Preview/6108" TargetMode="External"/><Relationship Id="rId48" Type="http://schemas.openxmlformats.org/officeDocument/2006/relationships/hyperlink" Target="http://www.hmhco.com/shop/education-curriculum/literature-and-language-arts/literature/collections#why" TargetMode="External"/><Relationship Id="rId8" Type="http://schemas.openxmlformats.org/officeDocument/2006/relationships/hyperlink" Target="https://www.teachingchannel.org/videos/analyzing-text-as-a-group"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cpalms.org/Public/PreviewStandard/Preview/5972" TargetMode="External"/><Relationship Id="rId17" Type="http://schemas.openxmlformats.org/officeDocument/2006/relationships/hyperlink" Target="http://www.hmhco.com/shop/education-curriculum/literature-and-language-arts/literature/collections#why" TargetMode="External"/><Relationship Id="rId25" Type="http://schemas.openxmlformats.org/officeDocument/2006/relationships/hyperlink" Target="http://www.cpalms.org/Public/PreviewStandard/Preview/6138" TargetMode="External"/><Relationship Id="rId33" Type="http://schemas.openxmlformats.org/officeDocument/2006/relationships/hyperlink" Target="http://www.cpalms.org/Public/PreviewStandard/Preview/6027" TargetMode="External"/><Relationship Id="rId38" Type="http://schemas.openxmlformats.org/officeDocument/2006/relationships/hyperlink" Target="http://www.bbc.co.uk/skillswise/topic/formal-and-informal-speaking" TargetMode="External"/><Relationship Id="rId46" Type="http://schemas.openxmlformats.org/officeDocument/2006/relationships/hyperlink" Target="http://www.cpalms.org/Public/PreviewStandard/Preview/6111" TargetMode="External"/><Relationship Id="rId20" Type="http://schemas.openxmlformats.org/officeDocument/2006/relationships/hyperlink" Target="http://www.cpalms.org/Public/PreviewStandard/Preview/6022" TargetMode="External"/><Relationship Id="rId41" Type="http://schemas.openxmlformats.org/officeDocument/2006/relationships/hyperlink" Target="http://www.cpalms.org/Public/PreviewStandard/Preview/602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palms.org/Public/PreviewStandard/Preview/6070" TargetMode="External"/><Relationship Id="rId23" Type="http://schemas.openxmlformats.org/officeDocument/2006/relationships/hyperlink" Target="http://www.cpalms.org/Public/PreviewStandard/Preview/5976" TargetMode="External"/><Relationship Id="rId28" Type="http://schemas.openxmlformats.org/officeDocument/2006/relationships/hyperlink" Target="https://prezi.com/zbyhzxcixxty/mla-format-documentation-guide/" TargetMode="External"/><Relationship Id="rId36" Type="http://schemas.openxmlformats.org/officeDocument/2006/relationships/hyperlink" Target="http://www.hmhco.com/shop/education-curriculum/literature-and-language-arts/literature/collections#why" TargetMode="External"/><Relationship Id="rId49" Type="http://schemas.openxmlformats.org/officeDocument/2006/relationships/hyperlink" Target="http://ed.ted.com/lessons/jane-hirshfield-the-art-of-the-metaphor"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1930</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St. Johns County School District</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M. Williams</dc:creator>
  <cp:lastModifiedBy>Tamara M. Williams</cp:lastModifiedBy>
  <cp:revision>3</cp:revision>
  <dcterms:created xsi:type="dcterms:W3CDTF">2020-06-24T18:54:00Z</dcterms:created>
  <dcterms:modified xsi:type="dcterms:W3CDTF">2020-06-24T18:55:00Z</dcterms:modified>
</cp:coreProperties>
</file>