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4B908B04" w14:textId="77777777" w:rsidTr="0D01DCE9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9C02DB7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3CA6991A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4C4932" w14:textId="77777777" w:rsidR="00271A35" w:rsidRPr="00B22E7B" w:rsidRDefault="001005D0" w:rsidP="00E8740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FA0D955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BE675F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3547FC8E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0331FAB0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F6AEA6F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3B07C85" w14:textId="7C3CD30F" w:rsidR="00271A35" w:rsidRDefault="0556D080">
            <w:r>
              <w:t xml:space="preserve">Duet Acting Scenes – Realism, Romanticism, Existentialism, Modern Drama (Ibsen to Miller), Contemporary Theatre. This will be a guided process through selection through memorization through workshopping through performance. 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14A5BCC8" w14:textId="12DE760F" w:rsidR="00271A35" w:rsidRDefault="0556D080">
            <w:r>
              <w:t xml:space="preserve">YouTube videos, published plays, handouts and packets, ibdb.com, PBS, playbill.com, broadway.com, bluegobo.com, DVDs of live performances, live, theatrical performance </w:t>
            </w:r>
          </w:p>
        </w:tc>
      </w:tr>
      <w:tr w:rsidR="00271A35" w14:paraId="03E3270B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5B09A6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FE11F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0C2039" w14:textId="6B8E527A" w:rsidR="00271A35" w:rsidRDefault="0556D080">
            <w:r>
              <w:t xml:space="preserve">Theater Etiquette - Acceptable and professional behavior expected from both the actor and the audience.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13D333A" w14:textId="77777777" w:rsidR="00271A35" w:rsidRDefault="00271A35"/>
        </w:tc>
      </w:tr>
      <w:tr w:rsidR="00271A35" w14:paraId="4DBE5954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5D84D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E46FB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0B5F655" w14:textId="73F4DF7C" w:rsidR="00271A35" w:rsidRDefault="0556D080">
            <w:proofErr w:type="spellStart"/>
            <w:r>
              <w:t>Uta</w:t>
            </w:r>
            <w:proofErr w:type="spellEnd"/>
            <w:r>
              <w:t xml:space="preserve"> Hagen – Character Analysis - 9 Essential Questions.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FB7EAF9" w14:textId="77777777" w:rsidR="00271A35" w:rsidRDefault="00271A35"/>
        </w:tc>
      </w:tr>
      <w:tr w:rsidR="00271A35" w14:paraId="5EADDA2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75C38F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08D6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E4BC2F3" w14:textId="5ADFC9B8" w:rsidR="00271A35" w:rsidRDefault="0556D080">
            <w:proofErr w:type="gramStart"/>
            <w:r>
              <w:t>Script  Analysis</w:t>
            </w:r>
            <w:proofErr w:type="gramEnd"/>
            <w:r>
              <w:t xml:space="preserve"> - Prior to fall auditions, the class will participate in Reader's Theatre, in which the selection for that semester's mainstage production will be read aloud, discussed and analyzed as a class.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B82A982" w14:textId="77777777" w:rsidR="00271A35" w:rsidRDefault="00271A35"/>
        </w:tc>
      </w:tr>
      <w:tr w:rsidR="00271A35" w14:paraId="72FF45F0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963892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51A4B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2CEA69C" w14:textId="08E5F1DD" w:rsidR="00271A35" w:rsidRDefault="0556D080">
            <w:r>
              <w:t>Vulnerability (Personal Monologues, Actor and Audience)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CDA6FC9" w14:textId="77777777" w:rsidR="00271A35" w:rsidRDefault="00271A35"/>
        </w:tc>
      </w:tr>
      <w:tr w:rsidR="00271A35" w14:paraId="5CE4C07F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62B09D0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453B0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8AB930E" w14:textId="77777777" w:rsidR="00271A35" w:rsidRDefault="00271A35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9354D57" w14:textId="77777777" w:rsidR="00271A35" w:rsidRDefault="00271A35"/>
        </w:tc>
      </w:tr>
      <w:tr w:rsidR="00271A35" w14:paraId="399C4671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B9A353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B832A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EA3BE32" w14:textId="77777777" w:rsidR="00271A35" w:rsidRDefault="00271A35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AC45922" w14:textId="77777777" w:rsidR="00271A35" w:rsidRDefault="00271A35"/>
        </w:tc>
      </w:tr>
      <w:tr w:rsidR="00271A35" w14:paraId="77A13C4D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B4735C4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67C71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640C587" w14:textId="77777777" w:rsidR="00271A35" w:rsidRDefault="00271A35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E6BB03" w14:textId="77777777" w:rsidR="00271A35" w:rsidRDefault="00271A35"/>
        </w:tc>
      </w:tr>
      <w:tr w:rsidR="00271A35" w14:paraId="0AF940F8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F934A7C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509D6245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0CFC835" w14:textId="77777777" w:rsidR="00271A35" w:rsidRDefault="00271A35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E407C9B" w14:textId="77777777" w:rsidR="00271A35" w:rsidRDefault="00271A35"/>
        </w:tc>
      </w:tr>
      <w:tr w:rsidR="00546FD4" w14:paraId="01EB1285" w14:textId="77777777" w:rsidTr="0D01DCE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3E2AE9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4700E4B1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8522F0C" w14:textId="77777777" w:rsidR="00546FD4" w:rsidRPr="00B22E7B" w:rsidRDefault="001005D0" w:rsidP="005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3E3A38B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F05F093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4803E13F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23226FF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0EE4B2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5B686C42" w14:textId="58CEF01D" w:rsidR="00546FD4" w:rsidRDefault="0556D080">
            <w:r>
              <w:t xml:space="preserve">Performance Unit - Students will select an IE event (performance or technical) to compete in </w:t>
            </w:r>
            <w:proofErr w:type="gramStart"/>
            <w:r>
              <w:t>the  Florida</w:t>
            </w:r>
            <w:proofErr w:type="gramEnd"/>
            <w:r>
              <w:t xml:space="preserve"> Thespian Festival. These selections will be workshopped, critiqued (peer and professional) analyzed and performed during class and at the ITS District II Thespian Festival.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500E19E2" w14:textId="3826E097" w:rsidR="00546FD4" w:rsidRDefault="0556D080">
            <w:r>
              <w:t>District Website, published plays, digital performances</w:t>
            </w:r>
          </w:p>
        </w:tc>
      </w:tr>
      <w:tr w:rsidR="00546FD4" w14:paraId="74707FE9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7E5082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77B78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AC86B41" w14:textId="569817DD" w:rsidR="00546FD4" w:rsidRDefault="0556D080">
            <w:r>
              <w:t>Monologues/Scene in a nontraditional way - Students will create a work in both a traditional manner and select an alternative method of performance; i.e. clowning, pantomime or eastern theater.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C79374" w14:textId="77777777" w:rsidR="00546FD4" w:rsidRDefault="00546FD4"/>
        </w:tc>
      </w:tr>
      <w:tr w:rsidR="00546FD4" w14:paraId="0E937B9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E80562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33E44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18A35A" w14:textId="7460410A" w:rsidR="00546FD4" w:rsidRDefault="0D01DCE9">
            <w:r>
              <w:t>Semester Exam (Written or Performance)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3F75B6" w14:textId="77777777" w:rsidR="00546FD4" w:rsidRDefault="00546FD4"/>
        </w:tc>
      </w:tr>
      <w:tr w:rsidR="00546FD4" w14:paraId="426D798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AF84936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D66CC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CFD7335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2397C97" w14:textId="77777777" w:rsidR="00546FD4" w:rsidRDefault="00546FD4"/>
        </w:tc>
      </w:tr>
      <w:tr w:rsidR="00546FD4" w14:paraId="32A0E128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CDB4318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9EBE1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BCAC977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D9FB2F3" w14:textId="77777777" w:rsidR="00546FD4" w:rsidRDefault="00546FD4"/>
        </w:tc>
      </w:tr>
      <w:tr w:rsidR="00546FD4" w14:paraId="747F381C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0EA7CF1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81959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D811F1B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933C5A" w14:textId="77777777" w:rsidR="00546FD4" w:rsidRDefault="00546FD4"/>
        </w:tc>
      </w:tr>
      <w:tr w:rsidR="00546FD4" w14:paraId="502D6F4C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F988E32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3F01A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86EEA6B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223BD9A" w14:textId="77777777" w:rsidR="00546FD4" w:rsidRDefault="00546FD4"/>
        </w:tc>
      </w:tr>
      <w:tr w:rsidR="00546FD4" w14:paraId="69F3415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A1392D8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5594F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701AD1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C1AC13" w14:textId="77777777" w:rsidR="00546FD4" w:rsidRDefault="00546FD4"/>
        </w:tc>
      </w:tr>
      <w:tr w:rsidR="00546FD4" w14:paraId="300693B4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41DE0A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793F1AEF" w14:textId="77777777" w:rsidR="00546FD4" w:rsidRDefault="00546FD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04F9479A" w14:textId="77777777" w:rsidR="00546FD4" w:rsidRDefault="00546FD4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6A3C8D53" w14:textId="77777777" w:rsidR="00546FD4" w:rsidRDefault="00546FD4"/>
        </w:tc>
      </w:tr>
      <w:tr w:rsidR="00B22E7B" w14:paraId="53ED957E" w14:textId="77777777" w:rsidTr="0D01DCE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75D1F1C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1A7F29ED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B7817C8" w14:textId="77777777" w:rsidR="00B22E7B" w:rsidRPr="00B22E7B" w:rsidRDefault="001B5A8C" w:rsidP="002638D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9350D59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34E0A4A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319251D0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C8CF018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5E3A316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8F438B8" w14:textId="64B86270" w:rsidR="00B22E7B" w:rsidRDefault="0556D080">
            <w:r>
              <w:t xml:space="preserve">Actor Techniques - Acting/Performance: Stanislavski and the Objective, </w:t>
            </w:r>
            <w:proofErr w:type="spellStart"/>
            <w:r>
              <w:t>Meisner</w:t>
            </w:r>
            <w:proofErr w:type="spellEnd"/>
            <w:r>
              <w:t xml:space="preserve"> and Repetition, Sense Memory. Voice, Movement, Warm-ups (for performance.)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30A763" w14:textId="6577573F" w:rsidR="00B22E7B" w:rsidRDefault="0556D080">
            <w:r>
              <w:t xml:space="preserve">YouTube videos, published plays, handouts and packets, ibdb.com, PBS, playbill.com, broadway.com, bluegobo.com, DVDs of live performances, live, theatrical performance </w:t>
            </w:r>
          </w:p>
        </w:tc>
      </w:tr>
      <w:tr w:rsidR="00B22E7B" w14:paraId="529DF0F1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559720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84BBC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8FE594B" w14:textId="10BF824B" w:rsidR="00B22E7B" w:rsidRDefault="0556D080">
            <w:r>
              <w:t xml:space="preserve">Monologues - Personal (written by the student) and Scripted (composed by a published playwright.) This will be a guided process beginning with selection through memorization through workshopping through performance.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0B45E98" w14:textId="77777777" w:rsidR="00B22E7B" w:rsidRDefault="00B22E7B"/>
        </w:tc>
      </w:tr>
      <w:tr w:rsidR="00B22E7B" w14:paraId="775C0954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03133F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3E346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C52CC06" w14:textId="1832769F" w:rsidR="00B22E7B" w:rsidRDefault="0556D080">
            <w:r>
              <w:t xml:space="preserve">Theater Review/Critique - A thorough, justified analysis of a live production the student has attended while enrolled in the course. Department productions may fulfill this requirement if the student is not involved in said production.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F69C29E" w14:textId="77777777" w:rsidR="00B22E7B" w:rsidRDefault="00B22E7B"/>
        </w:tc>
      </w:tr>
      <w:tr w:rsidR="00B22E7B" w14:paraId="54A4C0C7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0DEC4D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33B1D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16F7F6E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D788C22" w14:textId="77777777" w:rsidR="00B22E7B" w:rsidRDefault="00B22E7B"/>
        </w:tc>
      </w:tr>
      <w:tr w:rsidR="00B22E7B" w14:paraId="38280C1E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F84769F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793EB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E827643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FFC4A6" w14:textId="77777777" w:rsidR="00B22E7B" w:rsidRDefault="00B22E7B"/>
        </w:tc>
      </w:tr>
      <w:tr w:rsidR="00B22E7B" w14:paraId="7D6B8DB9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3659F61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04D31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CBE1B81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4320160" w14:textId="77777777" w:rsidR="00B22E7B" w:rsidRDefault="00B22E7B"/>
        </w:tc>
      </w:tr>
      <w:tr w:rsidR="00B22E7B" w14:paraId="36EC76CC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228E7D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32A34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F86D37A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26BA6D8" w14:textId="77777777" w:rsidR="00B22E7B" w:rsidRDefault="00B22E7B"/>
        </w:tc>
      </w:tr>
      <w:tr w:rsidR="00B22E7B" w14:paraId="36F8368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896512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B489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21B92B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EC998D0" w14:textId="77777777" w:rsidR="00B22E7B" w:rsidRDefault="00B22E7B"/>
        </w:tc>
      </w:tr>
      <w:tr w:rsidR="00B22E7B" w14:paraId="5ACFAFBA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B4FF5FC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759CBFCD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9771409" w14:textId="77777777" w:rsidR="00B22E7B" w:rsidRDefault="00B22E7B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8485ACA" w14:textId="77777777" w:rsidR="00B22E7B" w:rsidRDefault="00B22E7B"/>
        </w:tc>
      </w:tr>
      <w:tr w:rsidR="00B22E7B" w14:paraId="2016E22D" w14:textId="77777777" w:rsidTr="0D01DCE9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95632F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3A0B0281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lastRenderedPageBreak/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36BCF3A" w14:textId="77777777" w:rsidR="00B22E7B" w:rsidRPr="00B22E7B" w:rsidRDefault="001B5A8C" w:rsidP="00263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9F9BF08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D228361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4872CA5E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8EFAC32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ADB775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5C63CD4F" w14:textId="6E99E97A" w:rsidR="00B22E7B" w:rsidRDefault="0556D080">
            <w:r>
              <w:t xml:space="preserve">Culminating Performance Rehearsal - Students will work in class through rehearsal to create a culminating performance in a small group or individually.  Students may perform in front of an audience.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7BC82650" w14:textId="03CD3710" w:rsidR="00B22E7B" w:rsidRDefault="0556D080">
            <w:r>
              <w:t xml:space="preserve">YouTube videos, published plays, handouts and packets, ibdb.com, PBS, playbill.com, broadway.com, bluegobo.com, DVDs of live performances, live, theatrical performance </w:t>
            </w:r>
          </w:p>
        </w:tc>
      </w:tr>
      <w:tr w:rsidR="00B22E7B" w14:paraId="27829B62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6CA430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94272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F6FB88" w14:textId="773DCDE5" w:rsidR="00B22E7B" w:rsidRDefault="0556D080">
            <w:r>
              <w:t xml:space="preserve">Year final Portfolio - Students will perfect their portfolio that contains all performance elements gathered this past school year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41C94BC" w14:textId="77777777" w:rsidR="00B22E7B" w:rsidRDefault="00B22E7B"/>
        </w:tc>
      </w:tr>
      <w:tr w:rsidR="00B22E7B" w14:paraId="4B69B5DD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88FC31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BFD95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E7C07C1" w14:textId="674CB82E" w:rsidR="00B22E7B" w:rsidRDefault="0556D080">
            <w:r>
              <w:t>Exam Review (Students will review the information from this past year in order to prepare for their final exam. This will be a cumulative exam)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7427404" w14:textId="77777777" w:rsidR="00B22E7B" w:rsidRDefault="00B22E7B"/>
        </w:tc>
      </w:tr>
      <w:tr w:rsidR="00B22E7B" w14:paraId="02CD92A4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172B53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F5906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2704AF" w14:textId="5BDE0744" w:rsidR="00B22E7B" w:rsidRDefault="00CD28E2">
            <w:r>
              <w:t>Final Exam- District developed, computer-based</w:t>
            </w:r>
            <w:r w:rsidR="0D01DCE9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7EB8EAE" w14:textId="77777777" w:rsidR="00B22E7B" w:rsidRDefault="00B22E7B"/>
        </w:tc>
      </w:tr>
      <w:tr w:rsidR="00B22E7B" w14:paraId="53392D03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37F407F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A1457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04B3408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017FC5D" w14:textId="77777777" w:rsidR="00B22E7B" w:rsidRDefault="00B22E7B"/>
        </w:tc>
      </w:tr>
      <w:tr w:rsidR="00B22E7B" w14:paraId="0E9012D8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380B2E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BB6C3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87F19D3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F0E9C54" w14:textId="77777777" w:rsidR="00B22E7B" w:rsidRDefault="00B22E7B"/>
        </w:tc>
      </w:tr>
      <w:tr w:rsidR="00B22E7B" w14:paraId="23B7D823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82F9128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07735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54A17A1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6793A20" w14:textId="77777777" w:rsidR="00B22E7B" w:rsidRDefault="00B22E7B"/>
        </w:tc>
      </w:tr>
      <w:tr w:rsidR="00B22E7B" w14:paraId="17D8FCC1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EEB699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EAC83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76CCB38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3BD14EF" w14:textId="77777777" w:rsidR="00B22E7B" w:rsidRDefault="00B22E7B"/>
        </w:tc>
      </w:tr>
      <w:tr w:rsidR="00B22E7B" w14:paraId="3B614CB1" w14:textId="77777777" w:rsidTr="0D01DCE9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A65291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15E735CC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62079B1D" w14:textId="77777777" w:rsidR="00B22E7B" w:rsidRDefault="00B22E7B"/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58D696BA" w14:textId="77777777" w:rsidR="00B22E7B" w:rsidRDefault="00B22E7B"/>
        </w:tc>
      </w:tr>
    </w:tbl>
    <w:p w14:paraId="1EC7E417" w14:textId="77777777" w:rsidR="00CD28E2" w:rsidRDefault="00CD28E2"/>
    <w:sectPr w:rsidR="00CD28E2" w:rsidSect="00F75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5540" w14:textId="77777777" w:rsidR="00810CDB" w:rsidRDefault="00810CDB" w:rsidP="00075AB6">
      <w:pPr>
        <w:spacing w:after="0" w:line="240" w:lineRule="auto"/>
      </w:pPr>
      <w:r>
        <w:separator/>
      </w:r>
    </w:p>
  </w:endnote>
  <w:endnote w:type="continuationSeparator" w:id="0">
    <w:p w14:paraId="7A38CB95" w14:textId="77777777" w:rsidR="00810CDB" w:rsidRDefault="00810CDB" w:rsidP="00075AB6">
      <w:pPr>
        <w:spacing w:after="0" w:line="240" w:lineRule="auto"/>
      </w:pPr>
      <w:r>
        <w:continuationSeparator/>
      </w:r>
    </w:p>
  </w:endnote>
  <w:endnote w:type="continuationNotice" w:id="1">
    <w:p w14:paraId="0F8FAD9C" w14:textId="77777777" w:rsidR="00810CDB" w:rsidRDefault="00810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5995" w14:textId="77777777" w:rsidR="00A56D80" w:rsidRDefault="00A56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5BF2" w14:textId="77777777" w:rsidR="00CD28E2" w:rsidRPr="00F7520C" w:rsidRDefault="00CD28E2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545E2B8E" w14:textId="77777777" w:rsidR="00CD28E2" w:rsidRDefault="00CD28E2">
    <w:pPr>
      <w:pStyle w:val="Footer"/>
    </w:pPr>
  </w:p>
  <w:p w14:paraId="3BB9C752" w14:textId="77777777" w:rsidR="00CD28E2" w:rsidRDefault="00CD2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19AF" w14:textId="77777777" w:rsidR="00A56D80" w:rsidRDefault="00A5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BD5E" w14:textId="77777777" w:rsidR="00810CDB" w:rsidRDefault="00810CDB" w:rsidP="00075AB6">
      <w:pPr>
        <w:spacing w:after="0" w:line="240" w:lineRule="auto"/>
      </w:pPr>
      <w:r>
        <w:separator/>
      </w:r>
    </w:p>
  </w:footnote>
  <w:footnote w:type="continuationSeparator" w:id="0">
    <w:p w14:paraId="1DA37B58" w14:textId="77777777" w:rsidR="00810CDB" w:rsidRDefault="00810CDB" w:rsidP="00075AB6">
      <w:pPr>
        <w:spacing w:after="0" w:line="240" w:lineRule="auto"/>
      </w:pPr>
      <w:r>
        <w:continuationSeparator/>
      </w:r>
    </w:p>
  </w:footnote>
  <w:footnote w:type="continuationNotice" w:id="1">
    <w:p w14:paraId="09E5D41F" w14:textId="77777777" w:rsidR="00810CDB" w:rsidRDefault="00810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B2A2" w14:textId="77777777" w:rsidR="00A56D80" w:rsidRDefault="00A56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46B5" w14:textId="3EA23320" w:rsidR="00CD28E2" w:rsidRPr="0003589A" w:rsidRDefault="00CD28E2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Theater 3- 0400330                           </w:t>
    </w:r>
    <w:r w:rsidRPr="0003589A">
      <w:rPr>
        <w:sz w:val="36"/>
        <w:szCs w:val="36"/>
      </w:rPr>
      <w:tab/>
    </w:r>
    <w:r>
      <w:rPr>
        <w:sz w:val="36"/>
        <w:szCs w:val="36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499C" w14:textId="77777777" w:rsidR="00A56D80" w:rsidRDefault="00A56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1005D0"/>
    <w:rsid w:val="00196C29"/>
    <w:rsid w:val="001B5A8C"/>
    <w:rsid w:val="00217836"/>
    <w:rsid w:val="002638D7"/>
    <w:rsid w:val="00271A35"/>
    <w:rsid w:val="00377B36"/>
    <w:rsid w:val="004562E1"/>
    <w:rsid w:val="00546FD4"/>
    <w:rsid w:val="00591324"/>
    <w:rsid w:val="005E0441"/>
    <w:rsid w:val="007A3B29"/>
    <w:rsid w:val="00810CDB"/>
    <w:rsid w:val="009E23EF"/>
    <w:rsid w:val="009F2E3C"/>
    <w:rsid w:val="00A0067E"/>
    <w:rsid w:val="00A56D80"/>
    <w:rsid w:val="00B224FE"/>
    <w:rsid w:val="00B22E7B"/>
    <w:rsid w:val="00B24E43"/>
    <w:rsid w:val="00B66F0C"/>
    <w:rsid w:val="00CD28E2"/>
    <w:rsid w:val="00D701B9"/>
    <w:rsid w:val="00DE6C8E"/>
    <w:rsid w:val="00E11D89"/>
    <w:rsid w:val="00E87408"/>
    <w:rsid w:val="00EA0575"/>
    <w:rsid w:val="00F7520C"/>
    <w:rsid w:val="00FA269E"/>
    <w:rsid w:val="0556D080"/>
    <w:rsid w:val="0D01D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A8A1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653E085BC04EB0BBE7AD48D4DB3E" ma:contentTypeVersion="3" ma:contentTypeDescription="Create a new document." ma:contentTypeScope="" ma:versionID="498086f5bc577b09f9c13def9512a1dc">
  <xsd:schema xmlns:xsd="http://www.w3.org/2001/XMLSchema" xmlns:xs="http://www.w3.org/2001/XMLSchema" xmlns:p="http://schemas.microsoft.com/office/2006/metadata/properties" xmlns:ns3="25123469-c936-43e8-9f48-301c91bb2fe8" targetNamespace="http://schemas.microsoft.com/office/2006/metadata/properties" ma:root="true" ma:fieldsID="18d93060a4e7119e2e7e5478e6762ea1" ns3:_="">
    <xsd:import namespace="25123469-c936-43e8-9f48-301c91bb2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3469-c936-43e8-9f48-301c91bb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23469-c936-43e8-9f48-301c91bb2fe8">
      <UserInfo>
        <DisplayName>Ava Fixel</DisplayName>
        <AccountId>8</AccountId>
        <AccountType/>
      </UserInfo>
      <UserInfo>
        <DisplayName>Leia Fixel</DisplayName>
        <AccountId>13</AccountId>
        <AccountType/>
      </UserInfo>
      <UserInfo>
        <DisplayName>Michael C. Beaman</DisplayName>
        <AccountId>11</AccountId>
        <AccountType/>
      </UserInfo>
      <UserInfo>
        <DisplayName>Tommy Bledsoe</DisplayName>
        <AccountId>12</AccountId>
        <AccountType/>
      </UserInfo>
      <UserInfo>
        <DisplayName>Joseph R. Kemper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09E8-A040-4D4D-AF8B-FE1CAD5E8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F52A9-73C9-48C1-BBF9-2DF95DC3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3469-c936-43e8-9f48-301c91bb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727FD-024B-45D4-A9B5-FBB5166F36E6}">
  <ds:schemaRefs>
    <ds:schemaRef ds:uri="http://schemas.microsoft.com/office/2006/metadata/properties"/>
    <ds:schemaRef ds:uri="http://schemas.microsoft.com/office/infopath/2007/PartnerControls"/>
    <ds:schemaRef ds:uri="25123469-c936-43e8-9f48-301c91bb2fe8"/>
  </ds:schemaRefs>
</ds:datastoreItem>
</file>

<file path=customXml/itemProps4.xml><?xml version="1.0" encoding="utf-8"?>
<ds:datastoreItem xmlns:ds="http://schemas.openxmlformats.org/officeDocument/2006/customXml" ds:itemID="{25249B0F-160E-4839-AD9B-B8D36F8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4</cp:revision>
  <dcterms:created xsi:type="dcterms:W3CDTF">2015-11-03T21:00:00Z</dcterms:created>
  <dcterms:modified xsi:type="dcterms:W3CDTF">2016-07-26T12:25:00Z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0x01010070F6653E085BC04EB0BBE7AD48D4DB3E</vt:lpwstr>
  </property>
  <property fmtid="{D5CDD505-2E9C-101B-9397-08002B2CF9AE}" pid="3" name="IsMyDocuments">
    <vt:bool>true</vt:bool>
  </property>
</Properties>
</file>