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B882" w14:textId="5D44ACE7" w:rsidR="00A1623E" w:rsidRDefault="00A1623E" w:rsidP="007E6C6D">
      <w:pPr>
        <w:rPr>
          <w:i/>
          <w:iCs/>
          <w:color w:val="002060"/>
        </w:rPr>
      </w:pPr>
      <w:r>
        <w:rPr>
          <w:noProof/>
        </w:rPr>
        <mc:AlternateContent>
          <mc:Choice Requires="wps">
            <w:drawing>
              <wp:anchor distT="0" distB="0" distL="114300" distR="114300" simplePos="0" relativeHeight="251659264" behindDoc="0" locked="0" layoutInCell="1" allowOverlap="1" wp14:anchorId="00977175" wp14:editId="169CF4A4">
                <wp:simplePos x="0" y="0"/>
                <wp:positionH relativeFrom="column">
                  <wp:posOffset>495300</wp:posOffset>
                </wp:positionH>
                <wp:positionV relativeFrom="paragraph">
                  <wp:posOffset>-45085</wp:posOffset>
                </wp:positionV>
                <wp:extent cx="5746750" cy="584200"/>
                <wp:effectExtent l="19050" t="19050" r="44450" b="44450"/>
                <wp:wrapNone/>
                <wp:docPr id="1" name="Text Box 1"/>
                <wp:cNvGraphicFramePr/>
                <a:graphic xmlns:a="http://schemas.openxmlformats.org/drawingml/2006/main">
                  <a:graphicData uri="http://schemas.microsoft.com/office/word/2010/wordprocessingShape">
                    <wps:wsp>
                      <wps:cNvSpPr txBox="1"/>
                      <wps:spPr>
                        <a:xfrm>
                          <a:off x="0" y="0"/>
                          <a:ext cx="5746750" cy="584200"/>
                        </a:xfrm>
                        <a:prstGeom prst="rect">
                          <a:avLst/>
                        </a:prstGeom>
                        <a:noFill/>
                        <a:ln w="57150" cmpd="tri">
                          <a:solidFill>
                            <a:srgbClr val="0070C0"/>
                          </a:solidFill>
                        </a:ln>
                      </wps:spPr>
                      <wps:txbx>
                        <w:txbxContent>
                          <w:p w14:paraId="4325499A" w14:textId="77777777" w:rsidR="00A1623E" w:rsidRPr="00A1623E" w:rsidRDefault="00A1623E" w:rsidP="00A1623E">
                            <w:pP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623E">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Bright Futures Scholarship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77175" id="_x0000_t202" coordsize="21600,21600" o:spt="202" path="m,l,21600r21600,l21600,xe">
                <v:stroke joinstyle="miter"/>
                <v:path gradientshapeok="t" o:connecttype="rect"/>
              </v:shapetype>
              <v:shape id="Text Box 1" o:spid="_x0000_s1026" type="#_x0000_t202" style="position:absolute;margin-left:39pt;margin-top:-3.55pt;width:452.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" filled="f" strokecolor="#0070c0" strokeweight="4.5pt">
                <v:stroke linestyle="thickBetweenThin"/>
                <v:textbox>
                  <w:txbxContent>
                    <w:p w14:paraId="4325499A" w14:textId="77777777" w:rsidR="00A1623E" w:rsidRPr="00A1623E" w:rsidRDefault="00A1623E" w:rsidP="00A1623E">
                      <w:pP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623E">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Bright Futures Scholarship Update</w:t>
                      </w:r>
                    </w:p>
                  </w:txbxContent>
                </v:textbox>
              </v:shape>
            </w:pict>
          </mc:Fallback>
        </mc:AlternateContent>
      </w:r>
    </w:p>
    <w:p w14:paraId="7F5ACFAD" w14:textId="0D42F885" w:rsidR="00A1623E" w:rsidRDefault="00A1623E" w:rsidP="007E6C6D">
      <w:pPr>
        <w:rPr>
          <w:i/>
          <w:iCs/>
          <w:color w:val="002060"/>
        </w:rPr>
      </w:pPr>
    </w:p>
    <w:p w14:paraId="37473E14" w14:textId="77777777" w:rsidR="00A1623E" w:rsidRDefault="00A1623E" w:rsidP="007E6C6D">
      <w:pPr>
        <w:rPr>
          <w:i/>
          <w:iCs/>
          <w:color w:val="002060"/>
        </w:rPr>
      </w:pPr>
    </w:p>
    <w:p w14:paraId="087CE666" w14:textId="59DE1137" w:rsidR="007E6C6D" w:rsidRDefault="007E6C6D" w:rsidP="007E6C6D">
      <w:pPr>
        <w:rPr>
          <w:i/>
          <w:iCs/>
          <w:color w:val="002060"/>
        </w:rPr>
      </w:pPr>
      <w:r>
        <w:rPr>
          <w:i/>
          <w:iCs/>
          <w:color w:val="002060"/>
        </w:rPr>
        <w:t>Hello,</w:t>
      </w:r>
    </w:p>
    <w:p w14:paraId="179A9DAC" w14:textId="77777777" w:rsidR="007E6C6D" w:rsidRDefault="007E6C6D" w:rsidP="007E6C6D">
      <w:pPr>
        <w:rPr>
          <w:i/>
          <w:iCs/>
          <w:color w:val="002060"/>
        </w:rPr>
      </w:pPr>
      <w:r>
        <w:rPr>
          <w:i/>
          <w:iCs/>
          <w:color w:val="002060"/>
        </w:rPr>
        <w:t xml:space="preserve">During this summer’s legislative session, paid work hours were approved for students to submit for their Bright Futures Scholarship volunteer hours. Recently, the Florida Department of Education provided clarification that students’ Bright Futures eligibility will be based either entirely on paid work hours </w:t>
      </w:r>
      <w:r>
        <w:rPr>
          <w:b/>
          <w:bCs/>
          <w:i/>
          <w:iCs/>
          <w:color w:val="002060"/>
          <w:u w:val="single"/>
        </w:rPr>
        <w:t>or</w:t>
      </w:r>
      <w:r>
        <w:rPr>
          <w:i/>
          <w:iCs/>
          <w:color w:val="002060"/>
        </w:rPr>
        <w:t xml:space="preserve"> entirely on volunteer service hours, and they cannot be combined. The information given was that students must have either 100 hours of paid work for any Bright Futures Scholarship (</w:t>
      </w:r>
      <w:proofErr w:type="gramStart"/>
      <w:r>
        <w:rPr>
          <w:i/>
          <w:iCs/>
          <w:color w:val="002060"/>
        </w:rPr>
        <w:t>i.e.</w:t>
      </w:r>
      <w:proofErr w:type="gramEnd"/>
      <w:r>
        <w:rPr>
          <w:i/>
          <w:iCs/>
          <w:color w:val="002060"/>
        </w:rPr>
        <w:t xml:space="preserve"> Medallion, Academic or Gold Seal) </w:t>
      </w:r>
      <w:r>
        <w:rPr>
          <w:b/>
          <w:bCs/>
          <w:i/>
          <w:iCs/>
          <w:color w:val="002060"/>
          <w:u w:val="single"/>
        </w:rPr>
        <w:t>or</w:t>
      </w:r>
      <w:r>
        <w:rPr>
          <w:i/>
          <w:iCs/>
          <w:color w:val="002060"/>
        </w:rPr>
        <w:t xml:space="preserve"> 100, 75, or 30 volunteer hours for each respective Bright Futures scholarship as it has been in previous years.</w:t>
      </w:r>
    </w:p>
    <w:p w14:paraId="0291E4F6" w14:textId="77777777" w:rsidR="007E6C6D" w:rsidRDefault="007E6C6D" w:rsidP="007E6C6D">
      <w:pPr>
        <w:rPr>
          <w:i/>
          <w:iCs/>
          <w:color w:val="002060"/>
        </w:rPr>
      </w:pPr>
      <w:r>
        <w:rPr>
          <w:i/>
          <w:iCs/>
          <w:color w:val="002060"/>
        </w:rPr>
        <w:t>The FLDOE has shared that in October, a new process for logging Bright Futures hours into separate categories on transcripts will be introduced to school districts. Students may continue turning in Bright Futures paid work hours or volunteer service hours. It will not hurt them to have hours in both categories, but they will only be evaluated for scholarship eligibility in one category, whichever meets criteria. Likewise, it will not give them a special advantage to have met criteria for hours in both categories.</w:t>
      </w:r>
    </w:p>
    <w:p w14:paraId="2D8862FB" w14:textId="2FE0E149" w:rsidR="007E6C6D" w:rsidRDefault="007E6C6D" w:rsidP="007E6C6D">
      <w:pPr>
        <w:rPr>
          <w:i/>
          <w:iCs/>
          <w:color w:val="002060"/>
        </w:rPr>
      </w:pPr>
      <w:r>
        <w:rPr>
          <w:i/>
          <w:iCs/>
          <w:color w:val="002060"/>
        </w:rPr>
        <w:t xml:space="preserve">St. Johns County School District wanted to notify you of this clarification so that students can focus their efforts accordingly. If a student is a senior for instance, they may want to focus purely on volunteer hours if they will not be able to gain 100 paid work hours before the end of this school year. </w:t>
      </w:r>
      <w:r>
        <w:rPr>
          <w:i/>
          <w:iCs/>
          <w:color w:val="002060"/>
        </w:rPr>
        <w:t>The table below</w:t>
      </w:r>
      <w:r w:rsidR="00A1623E">
        <w:rPr>
          <w:i/>
          <w:iCs/>
          <w:color w:val="002060"/>
        </w:rPr>
        <w:t xml:space="preserve"> summarizes these changes.</w:t>
      </w:r>
    </w:p>
    <w:p w14:paraId="7137630A" w14:textId="1720D799" w:rsidR="00A1623E" w:rsidRPr="00A1623E" w:rsidRDefault="00A1623E" w:rsidP="007E6C6D">
      <w:pPr>
        <w:rPr>
          <w:i/>
          <w:iCs/>
          <w:color w:val="0070C0"/>
          <w:sz w:val="28"/>
          <w:szCs w:val="28"/>
          <w:u w:val="single"/>
        </w:rPr>
      </w:pPr>
      <w:r w:rsidRPr="00A1623E">
        <w:rPr>
          <w:i/>
          <w:iCs/>
          <w:color w:val="0070C0"/>
          <w:sz w:val="28"/>
          <w:szCs w:val="28"/>
          <w:u w:val="single"/>
        </w:rPr>
        <w:t>Quick Points</w:t>
      </w:r>
    </w:p>
    <w:p w14:paraId="09F37199" w14:textId="753E0924" w:rsidR="006252DE" w:rsidRPr="00A4288C" w:rsidRDefault="006252DE" w:rsidP="006252DE">
      <w:pPr>
        <w:pStyle w:val="ListParagraph"/>
        <w:numPr>
          <w:ilvl w:val="0"/>
          <w:numId w:val="3"/>
        </w:numPr>
        <w:tabs>
          <w:tab w:val="left" w:pos="4080"/>
        </w:tabs>
        <w:jc w:val="both"/>
        <w:rPr>
          <w:color w:val="0070C0"/>
          <w:sz w:val="28"/>
          <w:szCs w:val="28"/>
        </w:rPr>
      </w:pPr>
      <w:r w:rsidRPr="00A4288C">
        <w:rPr>
          <w:color w:val="0070C0"/>
          <w:sz w:val="28"/>
          <w:szCs w:val="28"/>
        </w:rPr>
        <w:t xml:space="preserve">Students will be evaluated for Bright Futures eligibility based on paid work hours </w:t>
      </w:r>
      <w:r w:rsidRPr="00A4288C">
        <w:rPr>
          <w:color w:val="0070C0"/>
          <w:sz w:val="28"/>
          <w:szCs w:val="28"/>
          <w:u w:val="single"/>
        </w:rPr>
        <w:t>or</w:t>
      </w:r>
      <w:r w:rsidRPr="00A4288C">
        <w:rPr>
          <w:color w:val="0070C0"/>
          <w:sz w:val="28"/>
          <w:szCs w:val="28"/>
        </w:rPr>
        <w:t xml:space="preserve"> </w:t>
      </w:r>
      <w:r w:rsidR="00EF1649" w:rsidRPr="00A4288C">
        <w:rPr>
          <w:color w:val="0070C0"/>
          <w:sz w:val="28"/>
          <w:szCs w:val="28"/>
        </w:rPr>
        <w:t>volunteer service hours</w:t>
      </w:r>
    </w:p>
    <w:p w14:paraId="67F195D3" w14:textId="0D025A64" w:rsidR="00EF1649" w:rsidRPr="00A4288C" w:rsidRDefault="00B143D7" w:rsidP="006252DE">
      <w:pPr>
        <w:pStyle w:val="ListParagraph"/>
        <w:numPr>
          <w:ilvl w:val="0"/>
          <w:numId w:val="3"/>
        </w:numPr>
        <w:tabs>
          <w:tab w:val="left" w:pos="4080"/>
        </w:tabs>
        <w:jc w:val="both"/>
        <w:rPr>
          <w:color w:val="0070C0"/>
          <w:sz w:val="28"/>
          <w:szCs w:val="28"/>
        </w:rPr>
      </w:pPr>
      <w:r w:rsidRPr="00A4288C">
        <w:rPr>
          <w:color w:val="0070C0"/>
          <w:sz w:val="28"/>
          <w:szCs w:val="28"/>
        </w:rPr>
        <w:t>These hours will be listed in separate categories on the transcript</w:t>
      </w:r>
    </w:p>
    <w:p w14:paraId="2E52596A" w14:textId="35CB33C6" w:rsidR="00B143D7" w:rsidRPr="00A4288C" w:rsidRDefault="00B143D7" w:rsidP="006252DE">
      <w:pPr>
        <w:pStyle w:val="ListParagraph"/>
        <w:numPr>
          <w:ilvl w:val="0"/>
          <w:numId w:val="3"/>
        </w:numPr>
        <w:tabs>
          <w:tab w:val="left" w:pos="4080"/>
        </w:tabs>
        <w:jc w:val="both"/>
        <w:rPr>
          <w:color w:val="0070C0"/>
          <w:sz w:val="28"/>
          <w:szCs w:val="28"/>
        </w:rPr>
      </w:pPr>
      <w:r w:rsidRPr="00A4288C">
        <w:rPr>
          <w:color w:val="0070C0"/>
          <w:sz w:val="28"/>
          <w:szCs w:val="28"/>
        </w:rPr>
        <w:t>Hours cannot be combined for eligibility determination</w:t>
      </w:r>
    </w:p>
    <w:p w14:paraId="4F8DF790" w14:textId="13A5F429" w:rsidR="00B143D7" w:rsidRPr="00A4288C" w:rsidRDefault="00D16C74" w:rsidP="006252DE">
      <w:pPr>
        <w:pStyle w:val="ListParagraph"/>
        <w:numPr>
          <w:ilvl w:val="0"/>
          <w:numId w:val="3"/>
        </w:numPr>
        <w:tabs>
          <w:tab w:val="left" w:pos="4080"/>
        </w:tabs>
        <w:jc w:val="both"/>
        <w:rPr>
          <w:color w:val="0070C0"/>
          <w:sz w:val="28"/>
          <w:szCs w:val="28"/>
        </w:rPr>
      </w:pPr>
      <w:r w:rsidRPr="00A4288C">
        <w:rPr>
          <w:color w:val="0070C0"/>
          <w:sz w:val="28"/>
          <w:szCs w:val="28"/>
        </w:rPr>
        <w:t>Students must have either 100 paid work hours for all levels of the Bright Futures scholarship or 100 (Academic), 75 (Medallion) or 30 (Gold Seal)</w:t>
      </w:r>
    </w:p>
    <w:p w14:paraId="6094928C" w14:textId="23BF17EF" w:rsidR="00E21BC9" w:rsidRDefault="00A4288C" w:rsidP="006252DE">
      <w:pPr>
        <w:pStyle w:val="ListParagraph"/>
        <w:numPr>
          <w:ilvl w:val="0"/>
          <w:numId w:val="3"/>
        </w:numPr>
        <w:tabs>
          <w:tab w:val="left" w:pos="4080"/>
        </w:tabs>
        <w:jc w:val="both"/>
        <w:rPr>
          <w:color w:val="0070C0"/>
          <w:sz w:val="28"/>
          <w:szCs w:val="28"/>
        </w:rPr>
      </w:pPr>
      <w:r w:rsidRPr="00A4288C">
        <w:rPr>
          <w:color w:val="0070C0"/>
          <w:sz w:val="28"/>
          <w:szCs w:val="28"/>
        </w:rPr>
        <w:t>It won’t hurt students or give them a special advantage to have hours in both categories</w:t>
      </w:r>
    </w:p>
    <w:p w14:paraId="7505EDC2" w14:textId="4EC8B76B" w:rsidR="00CC34E0" w:rsidRDefault="00CC34E0" w:rsidP="006252DE">
      <w:pPr>
        <w:pStyle w:val="ListParagraph"/>
        <w:numPr>
          <w:ilvl w:val="0"/>
          <w:numId w:val="3"/>
        </w:numPr>
        <w:tabs>
          <w:tab w:val="left" w:pos="4080"/>
        </w:tabs>
        <w:jc w:val="both"/>
        <w:rPr>
          <w:color w:val="0070C0"/>
          <w:sz w:val="28"/>
          <w:szCs w:val="28"/>
        </w:rPr>
      </w:pPr>
      <w:r>
        <w:rPr>
          <w:color w:val="0070C0"/>
          <w:sz w:val="28"/>
          <w:szCs w:val="28"/>
        </w:rPr>
        <w:t>Test score and Bright Futures GPA requirements remain unchanged.</w:t>
      </w:r>
    </w:p>
    <w:tbl>
      <w:tblPr>
        <w:tblStyle w:val="TableGridLight"/>
        <w:tblpPr w:leftFromText="180" w:rightFromText="180" w:vertAnchor="text" w:horzAnchor="margin" w:tblpXSpec="center" w:tblpY="315"/>
        <w:tblW w:w="0" w:type="auto"/>
        <w:tblLook w:val="04A0" w:firstRow="1" w:lastRow="0" w:firstColumn="1" w:lastColumn="0" w:noHBand="0" w:noVBand="1"/>
      </w:tblPr>
      <w:tblGrid>
        <w:gridCol w:w="4405"/>
        <w:gridCol w:w="1828"/>
        <w:gridCol w:w="3117"/>
      </w:tblGrid>
      <w:tr w:rsidR="00A1623E" w:rsidRPr="005E37A8" w14:paraId="2245472E" w14:textId="77777777" w:rsidTr="00A1623E">
        <w:tc>
          <w:tcPr>
            <w:tcW w:w="4405" w:type="dxa"/>
          </w:tcPr>
          <w:p w14:paraId="189F8115" w14:textId="77777777" w:rsidR="00A1623E" w:rsidRPr="00832505" w:rsidRDefault="00A1623E" w:rsidP="00A1623E">
            <w:pPr>
              <w:jc w:val="center"/>
              <w:rPr>
                <w:b/>
                <w:bCs/>
                <w:color w:val="0070C0"/>
                <w:sz w:val="24"/>
                <w:szCs w:val="24"/>
              </w:rPr>
            </w:pPr>
          </w:p>
        </w:tc>
        <w:tc>
          <w:tcPr>
            <w:tcW w:w="4945" w:type="dxa"/>
            <w:gridSpan w:val="2"/>
          </w:tcPr>
          <w:p w14:paraId="3A27C1DE" w14:textId="77777777" w:rsidR="00A1623E" w:rsidRPr="00832505" w:rsidRDefault="00A1623E" w:rsidP="00A1623E">
            <w:pPr>
              <w:jc w:val="center"/>
              <w:rPr>
                <w:b/>
                <w:bCs/>
                <w:color w:val="0070C0"/>
                <w:sz w:val="24"/>
                <w:szCs w:val="24"/>
              </w:rPr>
            </w:pPr>
            <w:r w:rsidRPr="00832505">
              <w:rPr>
                <w:b/>
                <w:bCs/>
                <w:color w:val="0070C0"/>
                <w:sz w:val="24"/>
                <w:szCs w:val="24"/>
              </w:rPr>
              <w:t>Type of Hours Required (one type or the other)</w:t>
            </w:r>
          </w:p>
        </w:tc>
      </w:tr>
      <w:tr w:rsidR="00A1623E" w:rsidRPr="005E37A8" w14:paraId="65EC684F" w14:textId="77777777" w:rsidTr="00A1623E">
        <w:tc>
          <w:tcPr>
            <w:tcW w:w="4405" w:type="dxa"/>
          </w:tcPr>
          <w:p w14:paraId="56C867E8" w14:textId="77777777" w:rsidR="00A1623E" w:rsidRPr="00832505" w:rsidRDefault="00A1623E" w:rsidP="00A1623E">
            <w:pPr>
              <w:jc w:val="center"/>
              <w:rPr>
                <w:b/>
                <w:bCs/>
                <w:color w:val="0070C0"/>
                <w:sz w:val="24"/>
                <w:szCs w:val="24"/>
              </w:rPr>
            </w:pPr>
            <w:r w:rsidRPr="00832505">
              <w:rPr>
                <w:b/>
                <w:bCs/>
                <w:color w:val="0070C0"/>
                <w:sz w:val="24"/>
                <w:szCs w:val="24"/>
              </w:rPr>
              <w:t>Scholarship Type</w:t>
            </w:r>
          </w:p>
        </w:tc>
        <w:tc>
          <w:tcPr>
            <w:tcW w:w="1828" w:type="dxa"/>
          </w:tcPr>
          <w:p w14:paraId="614711F6" w14:textId="77777777" w:rsidR="00A1623E" w:rsidRPr="00832505" w:rsidRDefault="00A1623E" w:rsidP="00A1623E">
            <w:pPr>
              <w:jc w:val="center"/>
              <w:rPr>
                <w:b/>
                <w:bCs/>
                <w:color w:val="0070C0"/>
                <w:sz w:val="24"/>
                <w:szCs w:val="24"/>
              </w:rPr>
            </w:pPr>
            <w:r w:rsidRPr="00832505">
              <w:rPr>
                <w:b/>
                <w:bCs/>
                <w:color w:val="0070C0"/>
                <w:sz w:val="24"/>
                <w:szCs w:val="24"/>
              </w:rPr>
              <w:t>Paid Hours</w:t>
            </w:r>
          </w:p>
        </w:tc>
        <w:tc>
          <w:tcPr>
            <w:tcW w:w="3117" w:type="dxa"/>
          </w:tcPr>
          <w:p w14:paraId="7E88ECAB" w14:textId="77777777" w:rsidR="00A1623E" w:rsidRPr="00832505" w:rsidRDefault="00A1623E" w:rsidP="00A1623E">
            <w:pPr>
              <w:jc w:val="center"/>
              <w:rPr>
                <w:b/>
                <w:bCs/>
                <w:color w:val="0070C0"/>
                <w:sz w:val="24"/>
                <w:szCs w:val="24"/>
              </w:rPr>
            </w:pPr>
            <w:r w:rsidRPr="00832505">
              <w:rPr>
                <w:b/>
                <w:bCs/>
                <w:color w:val="0070C0"/>
                <w:sz w:val="24"/>
                <w:szCs w:val="24"/>
              </w:rPr>
              <w:t>Volunteer Hours</w:t>
            </w:r>
          </w:p>
        </w:tc>
      </w:tr>
      <w:tr w:rsidR="00A1623E" w:rsidRPr="005E37A8" w14:paraId="1323FEB4" w14:textId="77777777" w:rsidTr="00A1623E">
        <w:tc>
          <w:tcPr>
            <w:tcW w:w="4405" w:type="dxa"/>
          </w:tcPr>
          <w:p w14:paraId="396A9935" w14:textId="77777777" w:rsidR="00A1623E" w:rsidRPr="00832505" w:rsidRDefault="00A1623E" w:rsidP="00A1623E">
            <w:pPr>
              <w:rPr>
                <w:color w:val="0070C0"/>
                <w:sz w:val="24"/>
                <w:szCs w:val="24"/>
              </w:rPr>
            </w:pPr>
            <w:r w:rsidRPr="00832505">
              <w:rPr>
                <w:color w:val="0070C0"/>
                <w:sz w:val="24"/>
                <w:szCs w:val="24"/>
              </w:rPr>
              <w:t>Florida Academic Scholarship</w:t>
            </w:r>
          </w:p>
        </w:tc>
        <w:tc>
          <w:tcPr>
            <w:tcW w:w="1828" w:type="dxa"/>
          </w:tcPr>
          <w:p w14:paraId="49845F6B" w14:textId="77777777" w:rsidR="00A1623E" w:rsidRPr="00832505" w:rsidRDefault="00A1623E" w:rsidP="00A1623E">
            <w:pPr>
              <w:jc w:val="center"/>
              <w:rPr>
                <w:color w:val="0070C0"/>
                <w:sz w:val="24"/>
                <w:szCs w:val="24"/>
              </w:rPr>
            </w:pPr>
            <w:r w:rsidRPr="00832505">
              <w:rPr>
                <w:color w:val="0070C0"/>
                <w:sz w:val="24"/>
                <w:szCs w:val="24"/>
              </w:rPr>
              <w:t>100</w:t>
            </w:r>
          </w:p>
        </w:tc>
        <w:tc>
          <w:tcPr>
            <w:tcW w:w="3117" w:type="dxa"/>
          </w:tcPr>
          <w:p w14:paraId="764D6B8D" w14:textId="77777777" w:rsidR="00A1623E" w:rsidRPr="00832505" w:rsidRDefault="00A1623E" w:rsidP="00A1623E">
            <w:pPr>
              <w:jc w:val="center"/>
              <w:rPr>
                <w:color w:val="0070C0"/>
                <w:sz w:val="24"/>
                <w:szCs w:val="24"/>
              </w:rPr>
            </w:pPr>
            <w:r w:rsidRPr="00832505">
              <w:rPr>
                <w:color w:val="0070C0"/>
                <w:sz w:val="24"/>
                <w:szCs w:val="24"/>
              </w:rPr>
              <w:t>100</w:t>
            </w:r>
          </w:p>
        </w:tc>
      </w:tr>
      <w:tr w:rsidR="00A1623E" w:rsidRPr="005E37A8" w14:paraId="20912947" w14:textId="77777777" w:rsidTr="00A1623E">
        <w:tc>
          <w:tcPr>
            <w:tcW w:w="4405" w:type="dxa"/>
          </w:tcPr>
          <w:p w14:paraId="66EF0A3E" w14:textId="77777777" w:rsidR="00A1623E" w:rsidRPr="00832505" w:rsidRDefault="00A1623E" w:rsidP="00A1623E">
            <w:pPr>
              <w:rPr>
                <w:color w:val="0070C0"/>
                <w:sz w:val="24"/>
                <w:szCs w:val="24"/>
              </w:rPr>
            </w:pPr>
            <w:r w:rsidRPr="00832505">
              <w:rPr>
                <w:color w:val="0070C0"/>
                <w:sz w:val="24"/>
                <w:szCs w:val="24"/>
              </w:rPr>
              <w:t>Florida Medallion Scholarship</w:t>
            </w:r>
          </w:p>
        </w:tc>
        <w:tc>
          <w:tcPr>
            <w:tcW w:w="1828" w:type="dxa"/>
          </w:tcPr>
          <w:p w14:paraId="7B68D7F8" w14:textId="77777777" w:rsidR="00A1623E" w:rsidRPr="00832505" w:rsidRDefault="00A1623E" w:rsidP="00A1623E">
            <w:pPr>
              <w:jc w:val="center"/>
              <w:rPr>
                <w:color w:val="0070C0"/>
                <w:sz w:val="24"/>
                <w:szCs w:val="24"/>
              </w:rPr>
            </w:pPr>
            <w:r w:rsidRPr="00832505">
              <w:rPr>
                <w:color w:val="0070C0"/>
                <w:sz w:val="24"/>
                <w:szCs w:val="24"/>
              </w:rPr>
              <w:t>100</w:t>
            </w:r>
          </w:p>
        </w:tc>
        <w:tc>
          <w:tcPr>
            <w:tcW w:w="3117" w:type="dxa"/>
          </w:tcPr>
          <w:p w14:paraId="00323112" w14:textId="77777777" w:rsidR="00A1623E" w:rsidRPr="00832505" w:rsidRDefault="00A1623E" w:rsidP="00A1623E">
            <w:pPr>
              <w:jc w:val="center"/>
              <w:rPr>
                <w:color w:val="0070C0"/>
                <w:sz w:val="24"/>
                <w:szCs w:val="24"/>
              </w:rPr>
            </w:pPr>
            <w:r w:rsidRPr="00832505">
              <w:rPr>
                <w:color w:val="0070C0"/>
                <w:sz w:val="24"/>
                <w:szCs w:val="24"/>
              </w:rPr>
              <w:t>75</w:t>
            </w:r>
          </w:p>
        </w:tc>
      </w:tr>
      <w:tr w:rsidR="00A1623E" w:rsidRPr="005E37A8" w14:paraId="3C0A7DDF" w14:textId="77777777" w:rsidTr="00A1623E">
        <w:tc>
          <w:tcPr>
            <w:tcW w:w="4405" w:type="dxa"/>
          </w:tcPr>
          <w:p w14:paraId="7BE942EF" w14:textId="77777777" w:rsidR="00A1623E" w:rsidRPr="00832505" w:rsidRDefault="00A1623E" w:rsidP="00A1623E">
            <w:pPr>
              <w:rPr>
                <w:color w:val="0070C0"/>
                <w:sz w:val="24"/>
                <w:szCs w:val="24"/>
              </w:rPr>
            </w:pPr>
            <w:r w:rsidRPr="00832505">
              <w:rPr>
                <w:color w:val="0070C0"/>
                <w:sz w:val="24"/>
                <w:szCs w:val="24"/>
              </w:rPr>
              <w:t>Florida Gold Seal Scholarships</w:t>
            </w:r>
          </w:p>
        </w:tc>
        <w:tc>
          <w:tcPr>
            <w:tcW w:w="1828" w:type="dxa"/>
          </w:tcPr>
          <w:p w14:paraId="3EB9D79D" w14:textId="77777777" w:rsidR="00A1623E" w:rsidRPr="00832505" w:rsidRDefault="00A1623E" w:rsidP="00A1623E">
            <w:pPr>
              <w:jc w:val="center"/>
              <w:rPr>
                <w:color w:val="0070C0"/>
                <w:sz w:val="24"/>
                <w:szCs w:val="24"/>
              </w:rPr>
            </w:pPr>
            <w:r w:rsidRPr="00832505">
              <w:rPr>
                <w:color w:val="0070C0"/>
                <w:sz w:val="24"/>
                <w:szCs w:val="24"/>
              </w:rPr>
              <w:t>100</w:t>
            </w:r>
          </w:p>
        </w:tc>
        <w:tc>
          <w:tcPr>
            <w:tcW w:w="3117" w:type="dxa"/>
          </w:tcPr>
          <w:p w14:paraId="7A91878F" w14:textId="77777777" w:rsidR="00A1623E" w:rsidRPr="00832505" w:rsidRDefault="00A1623E" w:rsidP="00A1623E">
            <w:pPr>
              <w:jc w:val="center"/>
              <w:rPr>
                <w:color w:val="0070C0"/>
                <w:sz w:val="24"/>
                <w:szCs w:val="24"/>
              </w:rPr>
            </w:pPr>
            <w:r w:rsidRPr="00832505">
              <w:rPr>
                <w:color w:val="0070C0"/>
                <w:sz w:val="24"/>
                <w:szCs w:val="24"/>
              </w:rPr>
              <w:t>30</w:t>
            </w:r>
          </w:p>
        </w:tc>
      </w:tr>
    </w:tbl>
    <w:p w14:paraId="053166EE" w14:textId="77777777" w:rsidR="00CC34E0" w:rsidRPr="00A4288C" w:rsidRDefault="00CC34E0" w:rsidP="00CC34E0">
      <w:pPr>
        <w:pStyle w:val="ListParagraph"/>
        <w:tabs>
          <w:tab w:val="left" w:pos="4080"/>
        </w:tabs>
        <w:jc w:val="both"/>
        <w:rPr>
          <w:color w:val="0070C0"/>
          <w:sz w:val="28"/>
          <w:szCs w:val="28"/>
        </w:rPr>
      </w:pPr>
    </w:p>
    <w:p w14:paraId="1ADEC278" w14:textId="77777777" w:rsidR="006252DE" w:rsidRPr="000C5243" w:rsidRDefault="006252DE" w:rsidP="006252DE">
      <w:pPr>
        <w:tabs>
          <w:tab w:val="left" w:pos="4080"/>
        </w:tabs>
        <w:jc w:val="both"/>
      </w:pPr>
    </w:p>
    <w:sectPr w:rsidR="006252DE" w:rsidRPr="000C5243" w:rsidSect="00A162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B04"/>
    <w:multiLevelType w:val="hybridMultilevel"/>
    <w:tmpl w:val="612E87E0"/>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1" w15:restartNumberingAfterBreak="0">
    <w:nsid w:val="09C45383"/>
    <w:multiLevelType w:val="hybridMultilevel"/>
    <w:tmpl w:val="18DE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C2CE4"/>
    <w:multiLevelType w:val="hybridMultilevel"/>
    <w:tmpl w:val="D400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780600">
    <w:abstractNumId w:val="0"/>
  </w:num>
  <w:num w:numId="2" w16cid:durableId="1537766377">
    <w:abstractNumId w:val="2"/>
  </w:num>
  <w:num w:numId="3" w16cid:durableId="1301573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49"/>
    <w:rsid w:val="00030923"/>
    <w:rsid w:val="000C5243"/>
    <w:rsid w:val="00375738"/>
    <w:rsid w:val="005E37A8"/>
    <w:rsid w:val="006252DE"/>
    <w:rsid w:val="0076291A"/>
    <w:rsid w:val="007E6C6D"/>
    <w:rsid w:val="00832505"/>
    <w:rsid w:val="00A1623E"/>
    <w:rsid w:val="00A4288C"/>
    <w:rsid w:val="00B143D7"/>
    <w:rsid w:val="00CC34E0"/>
    <w:rsid w:val="00D16C74"/>
    <w:rsid w:val="00E21BC9"/>
    <w:rsid w:val="00E33A49"/>
    <w:rsid w:val="00EF1649"/>
    <w:rsid w:val="00F3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F0F7"/>
  <w15:chartTrackingRefBased/>
  <w15:docId w15:val="{64614C7E-DAB5-453F-99B3-BC801986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C5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C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 Page</dc:creator>
  <cp:keywords/>
  <dc:description/>
  <cp:lastModifiedBy>Lindsey M. Page</cp:lastModifiedBy>
  <cp:revision>4</cp:revision>
  <dcterms:created xsi:type="dcterms:W3CDTF">2022-10-07T00:54:00Z</dcterms:created>
  <dcterms:modified xsi:type="dcterms:W3CDTF">2022-10-07T00:57:00Z</dcterms:modified>
</cp:coreProperties>
</file>