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315"/>
        <w:tblW w:w="10944" w:type="dxa"/>
        <w:tblLook w:val="04A0" w:firstRow="1" w:lastRow="0" w:firstColumn="1" w:lastColumn="0" w:noHBand="0" w:noVBand="1"/>
      </w:tblPr>
      <w:tblGrid>
        <w:gridCol w:w="4507"/>
        <w:gridCol w:w="6437"/>
      </w:tblGrid>
      <w:tr w:rsidR="000C284F" w:rsidTr="00DC6101">
        <w:trPr>
          <w:trHeight w:val="2907"/>
        </w:trPr>
        <w:tc>
          <w:tcPr>
            <w:tcW w:w="4507" w:type="dxa"/>
            <w:tcBorders>
              <w:top w:val="nil"/>
              <w:left w:val="nil"/>
              <w:bottom w:val="nil"/>
              <w:right w:val="single" w:sz="4" w:space="0" w:color="E36C0A" w:themeColor="accent6" w:themeShade="BF"/>
            </w:tcBorders>
          </w:tcPr>
          <w:p w:rsidR="00305F59" w:rsidRDefault="00CE7782" w:rsidP="000C284F">
            <w:r>
              <w:rPr>
                <w:noProof/>
              </w:rPr>
              <w:drawing>
                <wp:inline distT="0" distB="0" distL="0" distR="0">
                  <wp:extent cx="1800225" cy="1664914"/>
                  <wp:effectExtent l="190500" t="190500" r="180975" b="1835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 - 1.jpg"/>
                          <pic:cNvPicPr/>
                        </pic:nvPicPr>
                        <pic:blipFill>
                          <a:blip r:embed="rId7">
                            <a:extLst>
                              <a:ext uri="{28A0092B-C50C-407E-A947-70E740481C1C}">
                                <a14:useLocalDpi xmlns:a14="http://schemas.microsoft.com/office/drawing/2010/main" val="0"/>
                              </a:ext>
                            </a:extLst>
                          </a:blip>
                          <a:stretch>
                            <a:fillRect/>
                          </a:stretch>
                        </pic:blipFill>
                        <pic:spPr>
                          <a:xfrm>
                            <a:off x="0" y="0"/>
                            <a:ext cx="1815128" cy="1678697"/>
                          </a:xfrm>
                          <a:prstGeom prst="rect">
                            <a:avLst/>
                          </a:prstGeom>
                          <a:ln>
                            <a:noFill/>
                          </a:ln>
                          <a:effectLst>
                            <a:outerShdw blurRad="190500" algn="tl" rotWithShape="0">
                              <a:srgbClr val="000000">
                                <a:alpha val="70000"/>
                              </a:srgbClr>
                            </a:outerShdw>
                          </a:effectLst>
                        </pic:spPr>
                      </pic:pic>
                    </a:graphicData>
                  </a:graphic>
                </wp:inline>
              </w:drawing>
            </w:r>
          </w:p>
        </w:tc>
        <w:tc>
          <w:tcPr>
            <w:tcW w:w="643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305F59" w:rsidRDefault="00CE17B1" w:rsidP="000C284F">
            <w:pPr>
              <w:rPr>
                <w:b/>
                <w:color w:val="E36C0A"/>
              </w:rPr>
            </w:pPr>
            <w:r>
              <w:rPr>
                <w:b/>
                <w:color w:val="E36C0A"/>
              </w:rPr>
              <w:t>St. Johns County School District’s New Project SEARCH Site</w:t>
            </w:r>
          </w:p>
          <w:p w:rsidR="00884D52" w:rsidRDefault="00CE17B1" w:rsidP="009E6265">
            <w:r>
              <w:t>The St. Johns County School District is proud a new transition program for students with disabilities who are willing and ready t</w:t>
            </w:r>
            <w:r w:rsidR="00884D52">
              <w:t xml:space="preserve">o train to work! Project SEARCH </w:t>
            </w:r>
            <w:r>
              <w:t xml:space="preserve"> St. Johns will provide for students to be fully immersed in the hotel setting</w:t>
            </w:r>
            <w:r w:rsidR="00884D52">
              <w:t xml:space="preserve"> to:   </w:t>
            </w:r>
          </w:p>
          <w:p w:rsidR="009E6265" w:rsidRDefault="00884D52" w:rsidP="009E6265">
            <w:pPr>
              <w:pStyle w:val="ListParagraph"/>
              <w:numPr>
                <w:ilvl w:val="0"/>
                <w:numId w:val="1"/>
              </w:numPr>
            </w:pPr>
            <w:r>
              <w:t>Acquire competitive, transferable, and marketable job skills</w:t>
            </w:r>
          </w:p>
          <w:p w:rsidR="00884D52" w:rsidRDefault="00884D52" w:rsidP="009E6265">
            <w:pPr>
              <w:pStyle w:val="ListParagraph"/>
              <w:numPr>
                <w:ilvl w:val="0"/>
                <w:numId w:val="1"/>
              </w:numPr>
            </w:pPr>
            <w:r>
              <w:t>Gain increased independence, confidence, and self-esteem</w:t>
            </w:r>
          </w:p>
          <w:p w:rsidR="00884D52" w:rsidRDefault="00884D52" w:rsidP="009E6265">
            <w:pPr>
              <w:pStyle w:val="ListParagraph"/>
              <w:numPr>
                <w:ilvl w:val="0"/>
                <w:numId w:val="1"/>
              </w:numPr>
            </w:pPr>
            <w:r>
              <w:t>Obtain work based individualized coaching, instruction, and feedback</w:t>
            </w:r>
          </w:p>
          <w:p w:rsidR="00371D23" w:rsidRDefault="00884D52" w:rsidP="00371D23">
            <w:pPr>
              <w:pStyle w:val="ListParagraph"/>
              <w:numPr>
                <w:ilvl w:val="0"/>
                <w:numId w:val="1"/>
              </w:numPr>
            </w:pPr>
            <w:r>
              <w:t>Develop linkages to Vocational Rehabilitation, Arc, APD, an</w:t>
            </w:r>
            <w:r w:rsidR="00371D23">
              <w:t>d other adult service agencies</w:t>
            </w:r>
          </w:p>
        </w:tc>
      </w:tr>
      <w:tr w:rsidR="000C284F" w:rsidTr="00DC6101">
        <w:trPr>
          <w:trHeight w:val="2828"/>
        </w:trPr>
        <w:tc>
          <w:tcPr>
            <w:tcW w:w="4507" w:type="dxa"/>
            <w:tcBorders>
              <w:top w:val="nil"/>
              <w:left w:val="nil"/>
              <w:bottom w:val="nil"/>
              <w:right w:val="single" w:sz="4" w:space="0" w:color="E36C0A" w:themeColor="accent6" w:themeShade="BF"/>
            </w:tcBorders>
          </w:tcPr>
          <w:p w:rsidR="00305F59" w:rsidRDefault="00D93457" w:rsidP="000C284F">
            <w:r>
              <w:rPr>
                <w:noProof/>
              </w:rPr>
              <w:drawing>
                <wp:inline distT="0" distB="0" distL="0" distR="0" wp14:anchorId="41B16286" wp14:editId="4D1D98B4">
                  <wp:extent cx="2305685" cy="1285875"/>
                  <wp:effectExtent l="190500" t="190500" r="189865" b="2000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 - 1.jpg"/>
                          <pic:cNvPicPr/>
                        </pic:nvPicPr>
                        <pic:blipFill>
                          <a:blip r:embed="rId8">
                            <a:extLst>
                              <a:ext uri="{28A0092B-C50C-407E-A947-70E740481C1C}">
                                <a14:useLocalDpi xmlns:a14="http://schemas.microsoft.com/office/drawing/2010/main" val="0"/>
                              </a:ext>
                            </a:extLst>
                          </a:blip>
                          <a:stretch>
                            <a:fillRect/>
                          </a:stretch>
                        </pic:blipFill>
                        <pic:spPr>
                          <a:xfrm>
                            <a:off x="0" y="0"/>
                            <a:ext cx="2345752" cy="1308220"/>
                          </a:xfrm>
                          <a:prstGeom prst="rect">
                            <a:avLst/>
                          </a:prstGeom>
                          <a:ln>
                            <a:noFill/>
                          </a:ln>
                          <a:effectLst>
                            <a:outerShdw blurRad="190500" algn="tl" rotWithShape="0">
                              <a:srgbClr val="000000">
                                <a:alpha val="70000"/>
                              </a:srgbClr>
                            </a:outerShdw>
                          </a:effectLst>
                        </pic:spPr>
                      </pic:pic>
                    </a:graphicData>
                  </a:graphic>
                </wp:inline>
              </w:drawing>
            </w:r>
          </w:p>
        </w:tc>
        <w:tc>
          <w:tcPr>
            <w:tcW w:w="643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884D52" w:rsidRDefault="00884D52" w:rsidP="000C284F">
            <w:pPr>
              <w:rPr>
                <w:b/>
                <w:color w:val="F79646" w:themeColor="accent6"/>
              </w:rPr>
            </w:pPr>
            <w:r w:rsidRPr="00884D52">
              <w:rPr>
                <w:b/>
                <w:color w:val="E36C0A" w:themeColor="accent6" w:themeShade="BF"/>
              </w:rPr>
              <w:t>Renaissance World Golf Village Resort, St. Augustine</w:t>
            </w:r>
          </w:p>
          <w:p w:rsidR="00305F59" w:rsidRDefault="00302BE8" w:rsidP="00302BE8">
            <w:r>
              <w:t xml:space="preserve">As the host business for the Project SEARCH St. Johns, the Renaissance World Golf Village Resort will provide an inclusive environment for students to grow and learn. There are countless opportunities for students to learn vocational skills and thrive. The hotel hosts hundreds of events each year, has beautiful accommodations for guests, and </w:t>
            </w:r>
            <w:r w:rsidR="007857C8">
              <w:t>draws people in from all over with the attractions the local area of St. Augustine</w:t>
            </w:r>
            <w:r w:rsidR="00371D23">
              <w:t xml:space="preserve"> has to offer, which all help will contribute to diverse internship opportunities for students. </w:t>
            </w:r>
          </w:p>
          <w:p w:rsidR="007857C8" w:rsidRPr="00884D52" w:rsidRDefault="00371D23" w:rsidP="00371D23">
            <w:r>
              <w:t>Student interns</w:t>
            </w:r>
            <w:r w:rsidR="007857C8">
              <w:t xml:space="preserve"> will spend an entire school year working through three internships with the support of Renaissance employees, a teacher, and </w:t>
            </w:r>
            <w:r>
              <w:t>skills trainer</w:t>
            </w:r>
            <w:r w:rsidR="007857C8">
              <w:t xml:space="preserve">. </w:t>
            </w:r>
          </w:p>
        </w:tc>
      </w:tr>
      <w:tr w:rsidR="000C284F" w:rsidTr="00DC6101">
        <w:trPr>
          <w:trHeight w:val="2267"/>
        </w:trPr>
        <w:tc>
          <w:tcPr>
            <w:tcW w:w="4507" w:type="dxa"/>
            <w:tcBorders>
              <w:top w:val="nil"/>
              <w:left w:val="nil"/>
              <w:bottom w:val="nil"/>
              <w:right w:val="single" w:sz="4" w:space="0" w:color="E36C0A" w:themeColor="accent6" w:themeShade="BF"/>
            </w:tcBorders>
          </w:tcPr>
          <w:p w:rsidR="00305F59" w:rsidRDefault="00D93457" w:rsidP="00BF29A9">
            <w:pPr>
              <w:ind w:left="-195" w:firstLine="195"/>
            </w:pPr>
            <w:r>
              <w:rPr>
                <w:noProof/>
              </w:rPr>
              <w:drawing>
                <wp:inline distT="0" distB="0" distL="0" distR="0" wp14:anchorId="41B16286" wp14:editId="4D1D98B4">
                  <wp:extent cx="1285822" cy="1287430"/>
                  <wp:effectExtent l="190500" t="190500" r="181610" b="1987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 -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22" cy="1287430"/>
                          </a:xfrm>
                          <a:prstGeom prst="rect">
                            <a:avLst/>
                          </a:prstGeom>
                          <a:ln>
                            <a:noFill/>
                          </a:ln>
                          <a:effectLst>
                            <a:outerShdw blurRad="190500" algn="tl" rotWithShape="0">
                              <a:srgbClr val="000000">
                                <a:alpha val="70000"/>
                              </a:srgbClr>
                            </a:outerShdw>
                          </a:effectLst>
                        </pic:spPr>
                      </pic:pic>
                    </a:graphicData>
                  </a:graphic>
                </wp:inline>
              </w:drawing>
            </w:r>
          </w:p>
        </w:tc>
        <w:tc>
          <w:tcPr>
            <w:tcW w:w="643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305F59" w:rsidRDefault="007857C8" w:rsidP="000C284F">
            <w:pPr>
              <w:rPr>
                <w:b/>
                <w:color w:val="E36C0A" w:themeColor="accent6" w:themeShade="BF"/>
              </w:rPr>
            </w:pPr>
            <w:r>
              <w:rPr>
                <w:b/>
                <w:color w:val="E36C0A" w:themeColor="accent6" w:themeShade="BF"/>
              </w:rPr>
              <w:t>Vocational Rehabilitation (VR)</w:t>
            </w:r>
          </w:p>
          <w:p w:rsidR="00371D23" w:rsidRDefault="007857C8" w:rsidP="00371D23">
            <w:pPr>
              <w:rPr>
                <w:color w:val="000000" w:themeColor="text1"/>
              </w:rPr>
            </w:pPr>
            <w:r>
              <w:rPr>
                <w:color w:val="000000" w:themeColor="text1"/>
              </w:rPr>
              <w:t xml:space="preserve">VR is a federal-state program that helps people who have disabilities get or keep a job. VR is committed to helping people with disabilities find meaningful careers. </w:t>
            </w:r>
            <w:r w:rsidR="00BF29A9">
              <w:rPr>
                <w:color w:val="000000" w:themeColor="text1"/>
              </w:rPr>
              <w:t>A VR counselor will work with the SEARCH team to</w:t>
            </w:r>
            <w:r w:rsidR="00371D23">
              <w:rPr>
                <w:color w:val="000000" w:themeColor="text1"/>
              </w:rPr>
              <w:t xml:space="preserve"> d</w:t>
            </w:r>
            <w:r w:rsidR="00BF29A9" w:rsidRPr="00371D23">
              <w:rPr>
                <w:color w:val="000000" w:themeColor="text1"/>
              </w:rPr>
              <w:t>etermine student eligibility for Project SEARCH and VR services</w:t>
            </w:r>
            <w:r w:rsidR="00371D23">
              <w:rPr>
                <w:color w:val="000000" w:themeColor="text1"/>
              </w:rPr>
              <w:t>, w</w:t>
            </w:r>
            <w:r w:rsidR="00BF29A9" w:rsidRPr="00371D23">
              <w:rPr>
                <w:color w:val="000000" w:themeColor="text1"/>
              </w:rPr>
              <w:t>ork with the SEARCH team to determine student employment goals</w:t>
            </w:r>
            <w:r w:rsidR="00371D23">
              <w:rPr>
                <w:color w:val="000000" w:themeColor="text1"/>
              </w:rPr>
              <w:t>, and d</w:t>
            </w:r>
            <w:r w:rsidR="00BF29A9" w:rsidRPr="00371D23">
              <w:rPr>
                <w:color w:val="000000" w:themeColor="text1"/>
              </w:rPr>
              <w:t>evelop an Individual Plan for Employment (IPE) with each intern</w:t>
            </w:r>
            <w:r w:rsidR="00DC6101">
              <w:rPr>
                <w:color w:val="000000" w:themeColor="text1"/>
              </w:rPr>
              <w:t>.</w:t>
            </w:r>
          </w:p>
          <w:p w:rsidR="007857C8" w:rsidRPr="00371D23" w:rsidRDefault="007857C8" w:rsidP="00371D23"/>
        </w:tc>
      </w:tr>
      <w:tr w:rsidR="000C284F" w:rsidTr="00DC6101">
        <w:trPr>
          <w:trHeight w:val="2994"/>
        </w:trPr>
        <w:tc>
          <w:tcPr>
            <w:tcW w:w="4507" w:type="dxa"/>
            <w:tcBorders>
              <w:top w:val="nil"/>
              <w:left w:val="nil"/>
              <w:bottom w:val="nil"/>
              <w:right w:val="single" w:sz="4" w:space="0" w:color="E36C0A" w:themeColor="accent6" w:themeShade="BF"/>
            </w:tcBorders>
          </w:tcPr>
          <w:p w:rsidR="00305F59" w:rsidRDefault="00D93457" w:rsidP="000C284F">
            <w:r>
              <w:rPr>
                <w:noProof/>
              </w:rPr>
              <w:drawing>
                <wp:inline distT="0" distB="0" distL="0" distR="0" wp14:anchorId="41B16286" wp14:editId="4D1D98B4">
                  <wp:extent cx="1438275" cy="1438275"/>
                  <wp:effectExtent l="190500" t="190500" r="200025" b="2000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 - 1.jpg"/>
                          <pic:cNvPicPr/>
                        </pic:nvPicPr>
                        <pic:blipFill>
                          <a:blip r:embed="rId10">
                            <a:extLst>
                              <a:ext uri="{28A0092B-C50C-407E-A947-70E740481C1C}">
                                <a14:useLocalDpi xmlns:a14="http://schemas.microsoft.com/office/drawing/2010/main" val="0"/>
                              </a:ext>
                            </a:extLst>
                          </a:blip>
                          <a:stretch>
                            <a:fillRect/>
                          </a:stretch>
                        </pic:blipFill>
                        <pic:spPr>
                          <a:xfrm>
                            <a:off x="0" y="0"/>
                            <a:ext cx="1438592" cy="1438592"/>
                          </a:xfrm>
                          <a:prstGeom prst="rect">
                            <a:avLst/>
                          </a:prstGeom>
                          <a:ln>
                            <a:noFill/>
                          </a:ln>
                          <a:effectLst>
                            <a:outerShdw blurRad="190500" algn="tl" rotWithShape="0">
                              <a:srgbClr val="000000">
                                <a:alpha val="70000"/>
                              </a:srgbClr>
                            </a:outerShdw>
                          </a:effectLst>
                        </pic:spPr>
                      </pic:pic>
                    </a:graphicData>
                  </a:graphic>
                </wp:inline>
              </w:drawing>
            </w:r>
          </w:p>
        </w:tc>
        <w:tc>
          <w:tcPr>
            <w:tcW w:w="6437"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305F59" w:rsidRDefault="00CE17B1" w:rsidP="00961429">
            <w:pPr>
              <w:rPr>
                <w:b/>
                <w:color w:val="E36C0A" w:themeColor="accent6" w:themeShade="BF"/>
              </w:rPr>
            </w:pPr>
            <w:r w:rsidRPr="00961429">
              <w:rPr>
                <w:b/>
                <w:color w:val="E36C0A" w:themeColor="accent6" w:themeShade="BF"/>
              </w:rPr>
              <w:t>Arc of the St. Johns</w:t>
            </w:r>
          </w:p>
          <w:p w:rsidR="00371D23" w:rsidRPr="00371D23" w:rsidRDefault="00371D23" w:rsidP="00DC6101">
            <w:r>
              <w:t>As the Community Resource Provider, Arc of the St. Johns will provi</w:t>
            </w:r>
            <w:r w:rsidR="00DC6101">
              <w:t>de a skills trainer for student interns during their internships</w:t>
            </w:r>
            <w:r>
              <w:t>. Skills trainers w</w:t>
            </w:r>
            <w:r w:rsidR="00DC6101">
              <w:t>ill</w:t>
            </w:r>
            <w:r w:rsidR="00C04E5D">
              <w:t>:</w:t>
            </w:r>
            <w:r w:rsidR="00DC6101">
              <w:t xml:space="preserve"> guide students through vocational tasks, work with the instructor and business to provide meaningful supports to the intern, build natural supports to increase student independence and inclusion, teach safe practices according to the work environment, model appropriate work behavior, assess student progress and provide feedback to the team, and investigate long-term employment/career opportunities for the students based on interns’ skill sets. </w:t>
            </w:r>
          </w:p>
        </w:tc>
      </w:tr>
    </w:tbl>
    <w:p w:rsidR="000C284F" w:rsidRPr="0072746A" w:rsidRDefault="000C284F">
      <w:pPr>
        <w:rPr>
          <w:sz w:val="16"/>
          <w:szCs w:val="16"/>
        </w:rPr>
      </w:pPr>
    </w:p>
    <w:tbl>
      <w:tblPr>
        <w:tblStyle w:val="TableGrid"/>
        <w:tblW w:w="5000" w:type="pct"/>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0790"/>
      </w:tblGrid>
      <w:tr w:rsidR="00305F59" w:rsidTr="0086444C">
        <w:trPr>
          <w:trHeight w:val="2987"/>
        </w:trPr>
        <w:tc>
          <w:tcPr>
            <w:tcW w:w="5000" w:type="pct"/>
          </w:tcPr>
          <w:p w:rsidR="00305F59" w:rsidRDefault="00CE17B1">
            <w:pPr>
              <w:rPr>
                <w:b/>
                <w:color w:val="E36C0A" w:themeColor="accent6" w:themeShade="BF"/>
              </w:rPr>
            </w:pPr>
            <w:r w:rsidRPr="00C04E5D">
              <w:rPr>
                <w:b/>
                <w:color w:val="E36C0A" w:themeColor="accent6" w:themeShade="BF"/>
              </w:rPr>
              <w:lastRenderedPageBreak/>
              <w:t>The Project SEARCH Story</w:t>
            </w:r>
          </w:p>
          <w:p w:rsidR="00C04E5D" w:rsidRDefault="00C04E5D">
            <w:r>
              <w:t xml:space="preserve">In 1996, while working as the Director of the Emergency Department as Cincinnati Children’s Hospital Medical Center, Erin Riehle was frustrated with finding employees for entry-level jobs that involved restocking supplies. While working to identify a solution to eliminating the high turnover rates, Cincinnati Children’s had adopted a major diversity initiative, taking a policy statement from the American College of Healthcare executives, which reads, “Healthcare organizations must lead their communities in increasing employment opportunities </w:t>
            </w:r>
            <w:r w:rsidR="0086444C">
              <w:t xml:space="preserve"> for qualified persons with disabilities and advocate on behalf of their employment to other organizations.” Erin wondered if people with disabilities could fill the entry-level jobs she had. Not knowing anyone with a disability, she turned to Great Oaks Career Campuses and the Hamilton County School Board of Developmental Disability Services and asked if her idea was possible. Together with these organizations, the idea of filling a handful of jobs in Cincinnati Children’s Emergency Department evolved into a comprehensive program model, Project SEARCH. </w:t>
            </w:r>
          </w:p>
          <w:p w:rsidR="0086444C" w:rsidRPr="00C04E5D" w:rsidRDefault="0086444C">
            <w:r>
              <w:t xml:space="preserve">Project SEARCH has grown from one original program site at Cincinnati Children’s to over 435 programs across 45 states and eight countries. Some of the business partners include: Fifth Third Bank, Dow Chemical, The Smithsonian Institute, Medtronic, University of Arkansas Medical Services, Embassy Suites- LaVista, NE, Zoo Miami, Indiana State Government, Emory Midtown Hospital, Drexel University, Xavier University, Kaiser Permanente, McConnell Air Force Base, National Institutes of Health and the University of Rochester Medical Center, and now the newest location at the Renaissance World Golf Village Resort in St. Augustine! Project SEARCH’s primary objective is to secure competitive employment  for people with disabilities.  SEARCH is driven through collaboration with the following community partners: The St. Johns County School District, Renaissance World Golf Village Resort, St. Augustine, Vocational Rehabilitation, Arc of the St. Johns, and the Agency for Persons with Disabilities. </w:t>
            </w:r>
          </w:p>
        </w:tc>
      </w:tr>
      <w:tr w:rsidR="00305F59" w:rsidTr="0072746A">
        <w:trPr>
          <w:trHeight w:val="3827"/>
        </w:trPr>
        <w:tc>
          <w:tcPr>
            <w:tcW w:w="5000" w:type="pct"/>
          </w:tcPr>
          <w:p w:rsidR="00305F59" w:rsidRDefault="0086444C" w:rsidP="00F70B30">
            <w:pPr>
              <w:jc w:val="center"/>
              <w:rPr>
                <w:b/>
                <w:color w:val="E36C0A" w:themeColor="accent6" w:themeShade="BF"/>
                <w:sz w:val="36"/>
                <w:u w:val="single"/>
              </w:rPr>
            </w:pPr>
            <w:r w:rsidRPr="00ED3F15">
              <w:rPr>
                <w:b/>
                <w:color w:val="E36C0A" w:themeColor="accent6" w:themeShade="BF"/>
                <w:sz w:val="36"/>
                <w:u w:val="single"/>
              </w:rPr>
              <w:t>SEARCH St. Johns Important Dates</w:t>
            </w:r>
          </w:p>
          <w:p w:rsidR="00412B46" w:rsidRPr="00ED3F15" w:rsidRDefault="00412B46" w:rsidP="00F70B30">
            <w:pPr>
              <w:jc w:val="center"/>
              <w:rPr>
                <w:b/>
                <w:color w:val="E36C0A" w:themeColor="accent6" w:themeShade="BF"/>
                <w:sz w:val="36"/>
                <w:u w:val="single"/>
              </w:rPr>
            </w:pPr>
          </w:p>
          <w:p w:rsidR="00ED3F15" w:rsidRPr="0086444C" w:rsidRDefault="00412B46" w:rsidP="00412B46">
            <w:pPr>
              <w:pStyle w:val="ListParagraph"/>
              <w:numPr>
                <w:ilvl w:val="0"/>
                <w:numId w:val="5"/>
              </w:numPr>
              <w:spacing w:line="276" w:lineRule="auto"/>
              <w:rPr>
                <w:color w:val="000000" w:themeColor="text1"/>
                <w:sz w:val="24"/>
              </w:rPr>
            </w:pPr>
            <w:r>
              <w:rPr>
                <w:color w:val="000000" w:themeColor="text1"/>
                <w:sz w:val="28"/>
                <w:szCs w:val="28"/>
              </w:rPr>
              <w:t>Recruitment for the 2019-2020 cohort will begin in January 2019. Stay tuned to the St. Johns Cou</w:t>
            </w:r>
            <w:bookmarkStart w:id="0" w:name="_GoBack"/>
            <w:bookmarkEnd w:id="0"/>
            <w:r>
              <w:rPr>
                <w:color w:val="000000" w:themeColor="text1"/>
                <w:sz w:val="28"/>
                <w:szCs w:val="28"/>
              </w:rPr>
              <w:t xml:space="preserve">nty School District website for more details. </w:t>
            </w:r>
          </w:p>
        </w:tc>
      </w:tr>
      <w:tr w:rsidR="00D35F97" w:rsidTr="0072746A">
        <w:trPr>
          <w:trHeight w:val="4280"/>
        </w:trPr>
        <w:tc>
          <w:tcPr>
            <w:tcW w:w="5000" w:type="pct"/>
          </w:tcPr>
          <w:p w:rsidR="00D35F97" w:rsidRDefault="00D35F97"/>
        </w:tc>
      </w:tr>
      <w:tr w:rsidR="00305F59" w:rsidTr="0072746A">
        <w:trPr>
          <w:trHeight w:val="4280"/>
        </w:trPr>
        <w:tc>
          <w:tcPr>
            <w:tcW w:w="5000" w:type="pct"/>
          </w:tcPr>
          <w:p w:rsidR="00305F59" w:rsidRDefault="00305F59"/>
        </w:tc>
      </w:tr>
    </w:tbl>
    <w:p w:rsidR="00CE7782" w:rsidRDefault="00CE7782" w:rsidP="0072746A"/>
    <w:sectPr w:rsidR="00CE7782" w:rsidSect="000C284F">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33" w:rsidRDefault="00630133" w:rsidP="00305F59">
      <w:pPr>
        <w:spacing w:after="0" w:line="240" w:lineRule="auto"/>
      </w:pPr>
      <w:r>
        <w:separator/>
      </w:r>
    </w:p>
  </w:endnote>
  <w:endnote w:type="continuationSeparator" w:id="0">
    <w:p w:rsidR="00630133" w:rsidRDefault="00630133" w:rsidP="0030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838276"/>
      <w:docPartObj>
        <w:docPartGallery w:val="Page Numbers (Bottom of Page)"/>
        <w:docPartUnique/>
      </w:docPartObj>
    </w:sdtPr>
    <w:sdtEndPr>
      <w:rPr>
        <w:color w:val="808080" w:themeColor="background1" w:themeShade="80"/>
        <w:spacing w:val="60"/>
      </w:rPr>
    </w:sdtEndPr>
    <w:sdtContent>
      <w:p w:rsidR="00D93457" w:rsidRDefault="00D934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2B46" w:rsidRPr="00412B46">
          <w:rPr>
            <w:b/>
            <w:bCs/>
            <w:noProof/>
          </w:rPr>
          <w:t>1</w:t>
        </w:r>
        <w:r>
          <w:rPr>
            <w:b/>
            <w:bCs/>
            <w:noProof/>
          </w:rPr>
          <w:fldChar w:fldCharType="end"/>
        </w:r>
        <w:r>
          <w:rPr>
            <w:b/>
            <w:bCs/>
          </w:rPr>
          <w:t xml:space="preserve"> | </w:t>
        </w:r>
        <w:r>
          <w:rPr>
            <w:color w:val="808080" w:themeColor="background1" w:themeShade="80"/>
            <w:spacing w:val="60"/>
          </w:rPr>
          <w:t>Page</w:t>
        </w:r>
      </w:p>
    </w:sdtContent>
  </w:sdt>
  <w:p w:rsidR="00D93457" w:rsidRDefault="00D93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33" w:rsidRDefault="00630133" w:rsidP="00305F59">
      <w:pPr>
        <w:spacing w:after="0" w:line="240" w:lineRule="auto"/>
      </w:pPr>
      <w:r>
        <w:separator/>
      </w:r>
    </w:p>
  </w:footnote>
  <w:footnote w:type="continuationSeparator" w:id="0">
    <w:p w:rsidR="00630133" w:rsidRDefault="00630133" w:rsidP="00305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57" w:rsidRDefault="0017035C">
    <w:pPr>
      <w:pStyle w:val="Header"/>
    </w:pPr>
    <w:r>
      <w:rPr>
        <w:noProof/>
      </w:rPr>
      <w:drawing>
        <wp:inline distT="0" distB="0" distL="0" distR="0" wp14:anchorId="3A5DD093" wp14:editId="3C176C12">
          <wp:extent cx="1314450" cy="7152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Search Logo_large.jpg"/>
                  <pic:cNvPicPr/>
                </pic:nvPicPr>
                <pic:blipFill>
                  <a:blip r:embed="rId1">
                    <a:extLst>
                      <a:ext uri="{28A0092B-C50C-407E-A947-70E740481C1C}">
                        <a14:useLocalDpi xmlns:a14="http://schemas.microsoft.com/office/drawing/2010/main" val="0"/>
                      </a:ext>
                    </a:extLst>
                  </a:blip>
                  <a:stretch>
                    <a:fillRect/>
                  </a:stretch>
                </pic:blipFill>
                <pic:spPr>
                  <a:xfrm>
                    <a:off x="0" y="0"/>
                    <a:ext cx="1357427" cy="738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70F6"/>
    <w:multiLevelType w:val="hybridMultilevel"/>
    <w:tmpl w:val="C5B8CE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8C91A6A"/>
    <w:multiLevelType w:val="hybridMultilevel"/>
    <w:tmpl w:val="306AAB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C8413E"/>
    <w:multiLevelType w:val="hybridMultilevel"/>
    <w:tmpl w:val="FF5C03A8"/>
    <w:lvl w:ilvl="0" w:tplc="81040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502B0"/>
    <w:multiLevelType w:val="hybridMultilevel"/>
    <w:tmpl w:val="EC762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C020E"/>
    <w:multiLevelType w:val="hybridMultilevel"/>
    <w:tmpl w:val="196A4A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59"/>
    <w:rsid w:val="000C284F"/>
    <w:rsid w:val="00106110"/>
    <w:rsid w:val="0017035C"/>
    <w:rsid w:val="00220081"/>
    <w:rsid w:val="00264563"/>
    <w:rsid w:val="00302BE8"/>
    <w:rsid w:val="00305F59"/>
    <w:rsid w:val="003534BC"/>
    <w:rsid w:val="00371D23"/>
    <w:rsid w:val="00412B46"/>
    <w:rsid w:val="00432001"/>
    <w:rsid w:val="00436C7A"/>
    <w:rsid w:val="00501D9A"/>
    <w:rsid w:val="00630133"/>
    <w:rsid w:val="006F336B"/>
    <w:rsid w:val="00722954"/>
    <w:rsid w:val="0072746A"/>
    <w:rsid w:val="007857C8"/>
    <w:rsid w:val="0086444C"/>
    <w:rsid w:val="00884D52"/>
    <w:rsid w:val="00961429"/>
    <w:rsid w:val="009E6265"/>
    <w:rsid w:val="00A83FD3"/>
    <w:rsid w:val="00AA72E2"/>
    <w:rsid w:val="00B12176"/>
    <w:rsid w:val="00B50B50"/>
    <w:rsid w:val="00BA210D"/>
    <w:rsid w:val="00BF29A9"/>
    <w:rsid w:val="00C04E5D"/>
    <w:rsid w:val="00C70F6B"/>
    <w:rsid w:val="00CE17B1"/>
    <w:rsid w:val="00CE7782"/>
    <w:rsid w:val="00D35F97"/>
    <w:rsid w:val="00D93457"/>
    <w:rsid w:val="00DC6101"/>
    <w:rsid w:val="00EA0D35"/>
    <w:rsid w:val="00ED3F15"/>
    <w:rsid w:val="00F67CF2"/>
    <w:rsid w:val="00F7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2B00B"/>
  <w15:docId w15:val="{A7F489DE-508F-4C5A-88E0-66429EAC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59"/>
  </w:style>
  <w:style w:type="paragraph" w:styleId="Footer">
    <w:name w:val="footer"/>
    <w:basedOn w:val="Normal"/>
    <w:link w:val="FooterChar"/>
    <w:uiPriority w:val="99"/>
    <w:unhideWhenUsed/>
    <w:rsid w:val="00305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F59"/>
  </w:style>
  <w:style w:type="paragraph" w:styleId="BalloonText">
    <w:name w:val="Balloon Text"/>
    <w:basedOn w:val="Normal"/>
    <w:link w:val="BalloonTextChar"/>
    <w:uiPriority w:val="99"/>
    <w:semiHidden/>
    <w:unhideWhenUsed/>
    <w:rsid w:val="0030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59"/>
    <w:rPr>
      <w:rFonts w:ascii="Tahoma" w:hAnsi="Tahoma" w:cs="Tahoma"/>
      <w:sz w:val="16"/>
      <w:szCs w:val="16"/>
    </w:rPr>
  </w:style>
  <w:style w:type="table" w:styleId="TableGrid">
    <w:name w:val="Table Grid"/>
    <w:basedOn w:val="TableNormal"/>
    <w:uiPriority w:val="59"/>
    <w:rsid w:val="00305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D52"/>
    <w:pPr>
      <w:ind w:left="720"/>
      <w:contextualSpacing/>
    </w:pPr>
  </w:style>
  <w:style w:type="character" w:styleId="Hyperlink">
    <w:name w:val="Hyperlink"/>
    <w:basedOn w:val="DefaultParagraphFont"/>
    <w:uiPriority w:val="99"/>
    <w:unhideWhenUsed/>
    <w:rsid w:val="00ED3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Leigh Ann Hale</cp:lastModifiedBy>
  <cp:revision>9</cp:revision>
  <dcterms:created xsi:type="dcterms:W3CDTF">2017-03-13T14:51:00Z</dcterms:created>
  <dcterms:modified xsi:type="dcterms:W3CDTF">2018-08-29T18:04:00Z</dcterms:modified>
</cp:coreProperties>
</file>